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2F34D" w14:textId="77777777" w:rsidR="00396133" w:rsidRPr="00396133" w:rsidRDefault="00396133" w:rsidP="00F75AA4">
      <w:pPr>
        <w:widowControl w:val="0"/>
        <w:spacing w:after="0" w:line="240" w:lineRule="auto"/>
        <w:jc w:val="center"/>
        <w:rPr>
          <w:b/>
          <w:noProof/>
          <w:color w:val="4F81BD" w:themeColor="accent1"/>
          <w:sz w:val="72"/>
          <w:szCs w:val="72"/>
        </w:rPr>
      </w:pPr>
      <w:r w:rsidRPr="00396133">
        <w:rPr>
          <w:b/>
          <w:noProof/>
          <w:color w:val="4F81BD" w:themeColor="accent1"/>
          <w:sz w:val="72"/>
          <w:szCs w:val="72"/>
        </w:rPr>
        <w:t>TSP Guide</w:t>
      </w:r>
    </w:p>
    <w:p w14:paraId="2C8CC124" w14:textId="77777777" w:rsidR="00396133" w:rsidRDefault="00396133" w:rsidP="00396133">
      <w:pPr>
        <w:widowControl w:val="0"/>
        <w:spacing w:after="0" w:line="240" w:lineRule="auto"/>
        <w:jc w:val="center"/>
        <w:rPr>
          <w:noProof/>
          <w:sz w:val="20"/>
        </w:rPr>
      </w:pPr>
    </w:p>
    <w:p w14:paraId="2EDA58C6" w14:textId="77777777" w:rsidR="00396133" w:rsidRPr="00396133" w:rsidRDefault="00396133" w:rsidP="00396133">
      <w:pPr>
        <w:widowControl w:val="0"/>
        <w:spacing w:after="0" w:line="240" w:lineRule="auto"/>
        <w:jc w:val="center"/>
        <w:rPr>
          <w:rFonts w:ascii="Times New Roman" w:eastAsia="Times New Roman" w:hAnsi="Times New Roman" w:cs="Times New Roman"/>
          <w:noProof/>
          <w:color w:val="4F81BD" w:themeColor="accent1"/>
          <w:sz w:val="32"/>
          <w:szCs w:val="32"/>
        </w:rPr>
      </w:pPr>
      <w:r w:rsidRPr="00396133">
        <w:rPr>
          <w:rFonts w:ascii="Times New Roman" w:eastAsia="Times New Roman" w:hAnsi="Times New Roman" w:cs="Times New Roman"/>
          <w:noProof/>
          <w:color w:val="4F81BD" w:themeColor="accent1"/>
          <w:sz w:val="32"/>
          <w:szCs w:val="32"/>
        </w:rPr>
        <w:t>Not for Consumer Distribution</w:t>
      </w:r>
    </w:p>
    <w:p w14:paraId="098C5D7A" w14:textId="77777777" w:rsidR="00396133" w:rsidRDefault="00396133" w:rsidP="00396133">
      <w:pPr>
        <w:widowControl w:val="0"/>
        <w:spacing w:after="0" w:line="240" w:lineRule="auto"/>
        <w:jc w:val="center"/>
        <w:rPr>
          <w:noProof/>
          <w:sz w:val="20"/>
        </w:rPr>
      </w:pPr>
    </w:p>
    <w:p w14:paraId="68EAD7FA" w14:textId="77777777" w:rsidR="00396133" w:rsidRDefault="00396133" w:rsidP="00396133">
      <w:pPr>
        <w:widowControl w:val="0"/>
        <w:spacing w:after="0" w:line="240" w:lineRule="auto"/>
        <w:jc w:val="center"/>
        <w:rPr>
          <w:noProof/>
          <w:sz w:val="20"/>
        </w:rPr>
      </w:pPr>
    </w:p>
    <w:p w14:paraId="5C24DDE9" w14:textId="11BFE47A" w:rsidR="00396133" w:rsidRDefault="00006030" w:rsidP="00FB6890">
      <w:pPr>
        <w:widowControl w:val="0"/>
        <w:spacing w:after="0" w:line="240" w:lineRule="auto"/>
        <w:rPr>
          <w:rFonts w:asciiTheme="majorHAnsi" w:eastAsia="Times New Roman" w:hAnsiTheme="majorHAnsi" w:cs="Consolas"/>
          <w:sz w:val="28"/>
          <w:szCs w:val="28"/>
        </w:rPr>
      </w:pPr>
      <w:r>
        <w:rPr>
          <w:rFonts w:asciiTheme="majorHAnsi" w:eastAsia="Times New Roman" w:hAnsiTheme="majorHAnsi" w:cs="Consolas"/>
          <w:sz w:val="28"/>
          <w:szCs w:val="28"/>
        </w:rPr>
        <w:t>Over $</w:t>
      </w:r>
      <w:r w:rsidR="005852EA">
        <w:rPr>
          <w:rFonts w:asciiTheme="majorHAnsi" w:eastAsia="Times New Roman" w:hAnsiTheme="majorHAnsi" w:cs="Consolas"/>
          <w:sz w:val="28"/>
          <w:szCs w:val="28"/>
        </w:rPr>
        <w:t>550</w:t>
      </w:r>
      <w:r>
        <w:rPr>
          <w:rFonts w:asciiTheme="majorHAnsi" w:eastAsia="Times New Roman" w:hAnsiTheme="majorHAnsi" w:cs="Consolas"/>
          <w:sz w:val="28"/>
          <w:szCs w:val="28"/>
        </w:rPr>
        <w:t xml:space="preserve"> Billion Dollars of federal employee retirement </w:t>
      </w:r>
      <w:r w:rsidR="00F71368">
        <w:rPr>
          <w:rFonts w:asciiTheme="majorHAnsi" w:eastAsia="Times New Roman" w:hAnsiTheme="majorHAnsi" w:cs="Consolas"/>
          <w:sz w:val="28"/>
          <w:szCs w:val="28"/>
        </w:rPr>
        <w:t xml:space="preserve">money </w:t>
      </w:r>
      <w:r>
        <w:rPr>
          <w:rFonts w:asciiTheme="majorHAnsi" w:eastAsia="Times New Roman" w:hAnsiTheme="majorHAnsi" w:cs="Consolas"/>
          <w:sz w:val="28"/>
          <w:szCs w:val="28"/>
        </w:rPr>
        <w:t>is invested in the T</w:t>
      </w:r>
      <w:r w:rsidR="006E38F7">
        <w:rPr>
          <w:rFonts w:asciiTheme="majorHAnsi" w:eastAsia="Times New Roman" w:hAnsiTheme="majorHAnsi" w:cs="Consolas"/>
          <w:sz w:val="28"/>
          <w:szCs w:val="28"/>
        </w:rPr>
        <w:t xml:space="preserve">hrift Savings Plan (TSP) Funds, </w:t>
      </w:r>
      <w:r>
        <w:rPr>
          <w:rFonts w:asciiTheme="majorHAnsi" w:eastAsia="Times New Roman" w:hAnsiTheme="majorHAnsi" w:cs="Consolas"/>
          <w:sz w:val="28"/>
          <w:szCs w:val="28"/>
        </w:rPr>
        <w:t>half of which is sitting in</w:t>
      </w:r>
      <w:r w:rsidR="00F71368">
        <w:rPr>
          <w:rFonts w:asciiTheme="majorHAnsi" w:eastAsia="Times New Roman" w:hAnsiTheme="majorHAnsi" w:cs="Consolas"/>
          <w:sz w:val="28"/>
          <w:szCs w:val="28"/>
        </w:rPr>
        <w:t xml:space="preserve"> </w:t>
      </w:r>
      <w:r>
        <w:rPr>
          <w:rFonts w:asciiTheme="majorHAnsi" w:eastAsia="Times New Roman" w:hAnsiTheme="majorHAnsi" w:cs="Consolas"/>
          <w:sz w:val="28"/>
          <w:szCs w:val="28"/>
        </w:rPr>
        <w:t>the G Fund earning</w:t>
      </w:r>
      <w:r w:rsidR="005852EA">
        <w:rPr>
          <w:rFonts w:asciiTheme="majorHAnsi" w:eastAsia="Times New Roman" w:hAnsiTheme="majorHAnsi" w:cs="Consolas"/>
          <w:sz w:val="28"/>
          <w:szCs w:val="28"/>
        </w:rPr>
        <w:t xml:space="preserve"> on average</w:t>
      </w:r>
      <w:r>
        <w:rPr>
          <w:rFonts w:asciiTheme="majorHAnsi" w:eastAsia="Times New Roman" w:hAnsiTheme="majorHAnsi" w:cs="Consolas"/>
          <w:sz w:val="28"/>
          <w:szCs w:val="28"/>
        </w:rPr>
        <w:t xml:space="preserve"> 2</w:t>
      </w:r>
      <w:r w:rsidR="005852EA">
        <w:rPr>
          <w:rFonts w:asciiTheme="majorHAnsi" w:eastAsia="Times New Roman" w:hAnsiTheme="majorHAnsi" w:cs="Consolas"/>
          <w:sz w:val="28"/>
          <w:szCs w:val="28"/>
        </w:rPr>
        <w:t>.3</w:t>
      </w:r>
      <w:r>
        <w:rPr>
          <w:rFonts w:asciiTheme="majorHAnsi" w:eastAsia="Times New Roman" w:hAnsiTheme="majorHAnsi" w:cs="Consolas"/>
          <w:sz w:val="28"/>
          <w:szCs w:val="28"/>
        </w:rPr>
        <w:t>%</w:t>
      </w:r>
      <w:r w:rsidR="006E38F7">
        <w:rPr>
          <w:rFonts w:asciiTheme="majorHAnsi" w:eastAsia="Times New Roman" w:hAnsiTheme="majorHAnsi" w:cs="Consolas"/>
          <w:sz w:val="28"/>
          <w:szCs w:val="28"/>
        </w:rPr>
        <w:t xml:space="preserve"> annually.</w:t>
      </w:r>
      <w:r w:rsidR="00CF5E2A">
        <w:rPr>
          <w:rFonts w:asciiTheme="majorHAnsi" w:eastAsia="Times New Roman" w:hAnsiTheme="majorHAnsi" w:cs="Consolas"/>
          <w:sz w:val="28"/>
          <w:szCs w:val="28"/>
        </w:rPr>
        <w:t xml:space="preserve"> The TSP is the federal employee version of a 401K.</w:t>
      </w:r>
    </w:p>
    <w:p w14:paraId="0D6227DD" w14:textId="77777777" w:rsidR="00F71368" w:rsidRDefault="00F71368" w:rsidP="00FB6890">
      <w:pPr>
        <w:widowControl w:val="0"/>
        <w:spacing w:after="0" w:line="240" w:lineRule="auto"/>
        <w:rPr>
          <w:rFonts w:asciiTheme="majorHAnsi" w:eastAsia="Times New Roman" w:hAnsiTheme="majorHAnsi" w:cs="Consolas"/>
          <w:sz w:val="28"/>
          <w:szCs w:val="28"/>
        </w:rPr>
      </w:pPr>
    </w:p>
    <w:p w14:paraId="5BDD43FF" w14:textId="154855A0" w:rsidR="006E38F7" w:rsidRDefault="00D1268C" w:rsidP="00D1268C">
      <w:pPr>
        <w:widowControl w:val="0"/>
        <w:spacing w:after="0" w:line="240" w:lineRule="auto"/>
        <w:rPr>
          <w:rFonts w:asciiTheme="majorHAnsi" w:eastAsia="Times New Roman" w:hAnsiTheme="majorHAnsi" w:cs="Consolas"/>
          <w:sz w:val="28"/>
          <w:szCs w:val="28"/>
        </w:rPr>
      </w:pPr>
      <w:r w:rsidRPr="00D1268C">
        <w:rPr>
          <w:rFonts w:asciiTheme="majorHAnsi" w:eastAsia="Times New Roman" w:hAnsiTheme="majorHAnsi" w:cs="Consolas"/>
          <w:sz w:val="28"/>
          <w:szCs w:val="28"/>
        </w:rPr>
        <w:t xml:space="preserve">In order </w:t>
      </w:r>
      <w:r w:rsidR="006E38F7">
        <w:rPr>
          <w:rFonts w:asciiTheme="majorHAnsi" w:eastAsia="Times New Roman" w:hAnsiTheme="majorHAnsi" w:cs="Consolas"/>
          <w:sz w:val="28"/>
          <w:szCs w:val="28"/>
        </w:rPr>
        <w:t>for a federal employee to move their TSP money, they must be qualified to do so. Since all of your Webinar Leads are still working for the federal government, we will focus on them.</w:t>
      </w:r>
    </w:p>
    <w:p w14:paraId="0A985559" w14:textId="77777777" w:rsidR="006E38F7" w:rsidRDefault="006E38F7" w:rsidP="00D1268C">
      <w:pPr>
        <w:widowControl w:val="0"/>
        <w:spacing w:after="0" w:line="240" w:lineRule="auto"/>
        <w:rPr>
          <w:rFonts w:asciiTheme="majorHAnsi" w:eastAsia="Times New Roman" w:hAnsiTheme="majorHAnsi" w:cs="Consolas"/>
          <w:sz w:val="28"/>
          <w:szCs w:val="28"/>
        </w:rPr>
      </w:pPr>
    </w:p>
    <w:p w14:paraId="29C2A666" w14:textId="43A8B655" w:rsidR="00D1268C" w:rsidRDefault="00CF5E2A" w:rsidP="00D1268C">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Federal employees who are l</w:t>
      </w:r>
      <w:r w:rsidR="00D1268C" w:rsidRPr="00D1268C">
        <w:rPr>
          <w:rFonts w:asciiTheme="majorHAnsi" w:eastAsia="Times New Roman" w:hAnsiTheme="majorHAnsi" w:cs="Times New Roman"/>
          <w:sz w:val="28"/>
          <w:szCs w:val="28"/>
        </w:rPr>
        <w:t>aw enforcement, fire fighters, air traffic controllers, and any</w:t>
      </w:r>
      <w:r w:rsidR="003E1601">
        <w:rPr>
          <w:rFonts w:asciiTheme="majorHAnsi" w:eastAsia="Times New Roman" w:hAnsiTheme="majorHAnsi" w:cs="Times New Roman"/>
          <w:sz w:val="28"/>
          <w:szCs w:val="28"/>
        </w:rPr>
        <w:t>one</w:t>
      </w:r>
      <w:r w:rsidR="00D1268C" w:rsidRPr="00D1268C">
        <w:rPr>
          <w:rFonts w:asciiTheme="majorHAnsi" w:eastAsia="Times New Roman" w:hAnsiTheme="majorHAnsi" w:cs="Times New Roman"/>
          <w:sz w:val="28"/>
          <w:szCs w:val="28"/>
        </w:rPr>
        <w:t xml:space="preserve"> else </w:t>
      </w:r>
      <w:r>
        <w:rPr>
          <w:rFonts w:asciiTheme="majorHAnsi" w:eastAsia="Times New Roman" w:hAnsiTheme="majorHAnsi" w:cs="Times New Roman"/>
          <w:sz w:val="28"/>
          <w:szCs w:val="28"/>
        </w:rPr>
        <w:t xml:space="preserve">who </w:t>
      </w:r>
      <w:r w:rsidR="00D1268C" w:rsidRPr="00D1268C">
        <w:rPr>
          <w:rFonts w:asciiTheme="majorHAnsi" w:eastAsia="Times New Roman" w:hAnsiTheme="majorHAnsi" w:cs="Times New Roman"/>
          <w:sz w:val="28"/>
          <w:szCs w:val="28"/>
        </w:rPr>
        <w:t xml:space="preserve">is considered “Special Category”, can </w:t>
      </w:r>
      <w:r w:rsidR="006E38F7">
        <w:rPr>
          <w:rFonts w:asciiTheme="majorHAnsi" w:eastAsia="Times New Roman" w:hAnsiTheme="majorHAnsi" w:cs="Times New Roman"/>
          <w:sz w:val="28"/>
          <w:szCs w:val="28"/>
        </w:rPr>
        <w:t xml:space="preserve">retire and </w:t>
      </w:r>
      <w:r>
        <w:rPr>
          <w:rFonts w:asciiTheme="majorHAnsi" w:eastAsia="Times New Roman" w:hAnsiTheme="majorHAnsi" w:cs="Times New Roman"/>
          <w:sz w:val="28"/>
          <w:szCs w:val="28"/>
        </w:rPr>
        <w:t>then transfer</w:t>
      </w:r>
      <w:r w:rsidR="00D1268C" w:rsidRPr="00D1268C">
        <w:rPr>
          <w:rFonts w:asciiTheme="majorHAnsi" w:eastAsia="Times New Roman" w:hAnsiTheme="majorHAnsi" w:cs="Times New Roman"/>
          <w:sz w:val="28"/>
          <w:szCs w:val="28"/>
        </w:rPr>
        <w:t xml:space="preserve"> their </w:t>
      </w:r>
      <w:r w:rsidR="006E38F7">
        <w:rPr>
          <w:rFonts w:asciiTheme="majorHAnsi" w:eastAsia="Times New Roman" w:hAnsiTheme="majorHAnsi" w:cs="Times New Roman"/>
          <w:sz w:val="28"/>
          <w:szCs w:val="28"/>
        </w:rPr>
        <w:t xml:space="preserve">TSP </w:t>
      </w:r>
      <w:r w:rsidR="00D1268C" w:rsidRPr="00D1268C">
        <w:rPr>
          <w:rFonts w:asciiTheme="majorHAnsi" w:eastAsia="Times New Roman" w:hAnsiTheme="majorHAnsi" w:cs="Times New Roman"/>
          <w:sz w:val="28"/>
          <w:szCs w:val="28"/>
        </w:rPr>
        <w:t>money</w:t>
      </w:r>
      <w:r>
        <w:rPr>
          <w:rFonts w:asciiTheme="majorHAnsi" w:eastAsia="Times New Roman" w:hAnsiTheme="majorHAnsi" w:cs="Times New Roman"/>
          <w:sz w:val="28"/>
          <w:szCs w:val="28"/>
        </w:rPr>
        <w:t xml:space="preserve"> into an annuity</w:t>
      </w:r>
      <w:r w:rsidR="003E1601">
        <w:rPr>
          <w:rFonts w:asciiTheme="majorHAnsi" w:eastAsia="Times New Roman" w:hAnsiTheme="majorHAnsi" w:cs="Times New Roman"/>
          <w:sz w:val="28"/>
          <w:szCs w:val="28"/>
        </w:rPr>
        <w:t>,</w:t>
      </w:r>
      <w:r w:rsidR="00D1268C" w:rsidRPr="00D1268C">
        <w:rPr>
          <w:rFonts w:asciiTheme="majorHAnsi" w:eastAsia="Times New Roman" w:hAnsiTheme="majorHAnsi" w:cs="Times New Roman"/>
          <w:sz w:val="28"/>
          <w:szCs w:val="28"/>
        </w:rPr>
        <w:t xml:space="preserve"> in the year they turn age 50. For non-Special Category</w:t>
      </w:r>
      <w:r w:rsidR="003E1601">
        <w:rPr>
          <w:rFonts w:asciiTheme="majorHAnsi" w:eastAsia="Times New Roman" w:hAnsiTheme="majorHAnsi" w:cs="Times New Roman"/>
          <w:sz w:val="28"/>
          <w:szCs w:val="28"/>
        </w:rPr>
        <w:t xml:space="preserve"> federal employees</w:t>
      </w:r>
      <w:r w:rsidR="00D1268C" w:rsidRPr="00D1268C">
        <w:rPr>
          <w:rFonts w:asciiTheme="majorHAnsi" w:eastAsia="Times New Roman" w:hAnsiTheme="majorHAnsi" w:cs="Times New Roman"/>
          <w:sz w:val="28"/>
          <w:szCs w:val="28"/>
        </w:rPr>
        <w:t xml:space="preserve">, </w:t>
      </w:r>
      <w:r w:rsidR="003E1601">
        <w:rPr>
          <w:rFonts w:asciiTheme="majorHAnsi" w:eastAsia="Times New Roman" w:hAnsiTheme="majorHAnsi" w:cs="Times New Roman"/>
          <w:sz w:val="28"/>
          <w:szCs w:val="28"/>
        </w:rPr>
        <w:t>they can retire</w:t>
      </w:r>
      <w:r>
        <w:rPr>
          <w:rFonts w:asciiTheme="majorHAnsi" w:eastAsia="Times New Roman" w:hAnsiTheme="majorHAnsi" w:cs="Times New Roman"/>
          <w:sz w:val="28"/>
          <w:szCs w:val="28"/>
        </w:rPr>
        <w:t xml:space="preserve"> in the year they turn age 55</w:t>
      </w:r>
      <w:r w:rsidR="003E1601">
        <w:rPr>
          <w:rFonts w:asciiTheme="majorHAnsi" w:eastAsia="Times New Roman" w:hAnsiTheme="majorHAnsi" w:cs="Times New Roman"/>
          <w:sz w:val="28"/>
          <w:szCs w:val="28"/>
        </w:rPr>
        <w:t xml:space="preserve"> and</w:t>
      </w:r>
      <w:r>
        <w:rPr>
          <w:rFonts w:asciiTheme="majorHAnsi" w:eastAsia="Times New Roman" w:hAnsiTheme="majorHAnsi" w:cs="Times New Roman"/>
          <w:sz w:val="28"/>
          <w:szCs w:val="28"/>
        </w:rPr>
        <w:t xml:space="preserve"> then transfer their money into an annuity</w:t>
      </w:r>
      <w:r w:rsidR="003E1601">
        <w:rPr>
          <w:rFonts w:asciiTheme="majorHAnsi" w:eastAsia="Times New Roman" w:hAnsiTheme="majorHAnsi" w:cs="Times New Roman"/>
          <w:sz w:val="28"/>
          <w:szCs w:val="28"/>
        </w:rPr>
        <w:t xml:space="preserve">.  </w:t>
      </w:r>
    </w:p>
    <w:p w14:paraId="3A67B29F" w14:textId="373C4C23" w:rsidR="00CF5E2A" w:rsidRDefault="00CF5E2A" w:rsidP="00D1268C">
      <w:pPr>
        <w:spacing w:after="0" w:line="240" w:lineRule="auto"/>
        <w:rPr>
          <w:rFonts w:asciiTheme="majorHAnsi" w:eastAsia="Times New Roman" w:hAnsiTheme="majorHAnsi" w:cs="Times New Roman"/>
          <w:sz w:val="28"/>
          <w:szCs w:val="28"/>
        </w:rPr>
      </w:pPr>
    </w:p>
    <w:p w14:paraId="1F41B468" w14:textId="30F335C5" w:rsidR="00CF5E2A" w:rsidRPr="00D1268C" w:rsidRDefault="00CF5E2A" w:rsidP="00D1268C">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In either instance, unless they follow IRS Reg 72T, they will pay the 10% early withdrawal penalty. If done properly, there will be no income tax on a direct transfer from their TSP to the annuity company.</w:t>
      </w:r>
    </w:p>
    <w:p w14:paraId="10164A3B" w14:textId="77777777" w:rsidR="003E1601" w:rsidRDefault="003E1601" w:rsidP="00D1268C">
      <w:pPr>
        <w:widowControl w:val="0"/>
        <w:spacing w:after="0" w:line="240" w:lineRule="auto"/>
        <w:rPr>
          <w:rFonts w:asciiTheme="majorHAnsi" w:eastAsia="Times New Roman" w:hAnsiTheme="majorHAnsi" w:cs="Times New Roman"/>
          <w:sz w:val="28"/>
          <w:szCs w:val="28"/>
        </w:rPr>
      </w:pPr>
    </w:p>
    <w:p w14:paraId="75ED7FDE" w14:textId="3EA45E6C" w:rsidR="002D2C9C" w:rsidRDefault="00D1268C" w:rsidP="00D1268C">
      <w:pPr>
        <w:widowControl w:val="0"/>
        <w:spacing w:after="0" w:line="240" w:lineRule="auto"/>
        <w:rPr>
          <w:rFonts w:asciiTheme="majorHAnsi" w:eastAsia="Times New Roman" w:hAnsiTheme="majorHAnsi" w:cs="Consolas"/>
          <w:sz w:val="28"/>
          <w:szCs w:val="28"/>
        </w:rPr>
      </w:pPr>
      <w:r w:rsidRPr="00D1268C">
        <w:rPr>
          <w:rFonts w:asciiTheme="majorHAnsi" w:eastAsia="Times New Roman" w:hAnsiTheme="majorHAnsi" w:cs="Consolas"/>
          <w:sz w:val="28"/>
          <w:szCs w:val="28"/>
        </w:rPr>
        <w:t xml:space="preserve">If the federal employee is still working, </w:t>
      </w:r>
      <w:r w:rsidR="003E1601">
        <w:rPr>
          <w:rFonts w:asciiTheme="majorHAnsi" w:eastAsia="Times New Roman" w:hAnsiTheme="majorHAnsi" w:cs="Consolas"/>
          <w:sz w:val="28"/>
          <w:szCs w:val="28"/>
        </w:rPr>
        <w:t xml:space="preserve">and plans on continuing their federal employment, they can make four TSP withdrawal a year when they turn age 59 ½ years old. That is called an </w:t>
      </w:r>
      <w:r w:rsidR="00A523B5">
        <w:rPr>
          <w:rFonts w:asciiTheme="majorHAnsi" w:eastAsia="Times New Roman" w:hAnsiTheme="majorHAnsi" w:cs="Consolas"/>
          <w:sz w:val="28"/>
          <w:szCs w:val="28"/>
        </w:rPr>
        <w:t>“in-service</w:t>
      </w:r>
      <w:r w:rsidRPr="00D1268C">
        <w:rPr>
          <w:rFonts w:asciiTheme="majorHAnsi" w:eastAsia="Times New Roman" w:hAnsiTheme="majorHAnsi" w:cs="Consolas"/>
          <w:sz w:val="28"/>
          <w:szCs w:val="28"/>
        </w:rPr>
        <w:t xml:space="preserve"> transfer</w:t>
      </w:r>
      <w:r w:rsidR="00A523B5">
        <w:rPr>
          <w:rFonts w:asciiTheme="majorHAnsi" w:eastAsia="Times New Roman" w:hAnsiTheme="majorHAnsi" w:cs="Consolas"/>
          <w:sz w:val="28"/>
          <w:szCs w:val="28"/>
        </w:rPr>
        <w:t xml:space="preserve">”. </w:t>
      </w:r>
      <w:r w:rsidRPr="00D1268C">
        <w:rPr>
          <w:rFonts w:asciiTheme="majorHAnsi" w:eastAsia="Times New Roman" w:hAnsiTheme="majorHAnsi" w:cs="Consolas"/>
          <w:sz w:val="28"/>
          <w:szCs w:val="28"/>
        </w:rPr>
        <w:t xml:space="preserve"> </w:t>
      </w:r>
    </w:p>
    <w:p w14:paraId="334F4FBA" w14:textId="77777777" w:rsidR="002D2C9C" w:rsidRDefault="002D2C9C" w:rsidP="00D1268C">
      <w:pPr>
        <w:widowControl w:val="0"/>
        <w:spacing w:after="0" w:line="240" w:lineRule="auto"/>
        <w:rPr>
          <w:rFonts w:asciiTheme="majorHAnsi" w:eastAsia="Times New Roman" w:hAnsiTheme="majorHAnsi" w:cs="Consolas"/>
          <w:sz w:val="28"/>
          <w:szCs w:val="28"/>
        </w:rPr>
      </w:pPr>
    </w:p>
    <w:p w14:paraId="04B25197" w14:textId="3FCF50DF" w:rsidR="00D1268C" w:rsidRPr="00D1268C" w:rsidRDefault="00A523B5" w:rsidP="00D1268C">
      <w:pPr>
        <w:widowControl w:val="0"/>
        <w:spacing w:after="0" w:line="240" w:lineRule="auto"/>
        <w:rPr>
          <w:rFonts w:asciiTheme="majorHAnsi" w:eastAsia="Times New Roman" w:hAnsiTheme="majorHAnsi" w:cs="Consolas"/>
          <w:sz w:val="28"/>
          <w:szCs w:val="28"/>
        </w:rPr>
      </w:pPr>
      <w:r>
        <w:rPr>
          <w:rFonts w:asciiTheme="majorHAnsi" w:eastAsia="Times New Roman" w:hAnsiTheme="majorHAnsi" w:cs="Consolas"/>
          <w:sz w:val="28"/>
          <w:szCs w:val="28"/>
        </w:rPr>
        <w:t xml:space="preserve">Once they retire, they can make unlimited </w:t>
      </w:r>
      <w:r w:rsidR="003E1601">
        <w:rPr>
          <w:rFonts w:asciiTheme="majorHAnsi" w:eastAsia="Times New Roman" w:hAnsiTheme="majorHAnsi" w:cs="Consolas"/>
          <w:sz w:val="28"/>
          <w:szCs w:val="28"/>
        </w:rPr>
        <w:t xml:space="preserve">TSP </w:t>
      </w:r>
      <w:r>
        <w:rPr>
          <w:rFonts w:asciiTheme="majorHAnsi" w:eastAsia="Times New Roman" w:hAnsiTheme="majorHAnsi" w:cs="Consolas"/>
          <w:sz w:val="28"/>
          <w:szCs w:val="28"/>
        </w:rPr>
        <w:t>transfers every year</w:t>
      </w:r>
      <w:r w:rsidR="003E1601">
        <w:rPr>
          <w:rFonts w:asciiTheme="majorHAnsi" w:eastAsia="Times New Roman" w:hAnsiTheme="majorHAnsi" w:cs="Consolas"/>
          <w:sz w:val="28"/>
          <w:szCs w:val="28"/>
        </w:rPr>
        <w:t>, but they must be one month apart.</w:t>
      </w:r>
    </w:p>
    <w:p w14:paraId="78D41B74" w14:textId="29975A29" w:rsidR="00FB6890" w:rsidRDefault="00FB6890" w:rsidP="00FB6890">
      <w:pPr>
        <w:spacing w:before="100" w:beforeAutospacing="1" w:after="100" w:afterAutospacing="1" w:line="240" w:lineRule="auto"/>
        <w:outlineLvl w:val="2"/>
        <w:rPr>
          <w:rFonts w:asciiTheme="majorHAnsi" w:eastAsia="Times New Roman" w:hAnsiTheme="majorHAnsi" w:cs="Times New Roman"/>
          <w:sz w:val="28"/>
          <w:szCs w:val="28"/>
        </w:rPr>
      </w:pPr>
      <w:r w:rsidRPr="00FB6890">
        <w:rPr>
          <w:rFonts w:asciiTheme="majorHAnsi" w:eastAsia="Times New Roman" w:hAnsiTheme="majorHAnsi" w:cs="Times New Roman"/>
          <w:sz w:val="28"/>
          <w:szCs w:val="28"/>
        </w:rPr>
        <w:t xml:space="preserve">There are </w:t>
      </w:r>
      <w:r w:rsidR="003E1601">
        <w:rPr>
          <w:rFonts w:asciiTheme="majorHAnsi" w:eastAsia="Times New Roman" w:hAnsiTheme="majorHAnsi" w:cs="Times New Roman"/>
          <w:sz w:val="28"/>
          <w:szCs w:val="28"/>
        </w:rPr>
        <w:t xml:space="preserve">six </w:t>
      </w:r>
      <w:r w:rsidRPr="00FB6890">
        <w:rPr>
          <w:rFonts w:asciiTheme="majorHAnsi" w:eastAsia="Times New Roman" w:hAnsiTheme="majorHAnsi" w:cs="Times New Roman"/>
          <w:sz w:val="28"/>
          <w:szCs w:val="28"/>
        </w:rPr>
        <w:t xml:space="preserve">TSP Funds: G Fund, F Fund, C Fund, S Fund, I Fund, </w:t>
      </w:r>
      <w:r>
        <w:rPr>
          <w:rFonts w:asciiTheme="majorHAnsi" w:eastAsia="Times New Roman" w:hAnsiTheme="majorHAnsi" w:cs="Times New Roman"/>
          <w:sz w:val="28"/>
          <w:szCs w:val="28"/>
        </w:rPr>
        <w:t>and L Funds:</w:t>
      </w:r>
    </w:p>
    <w:p w14:paraId="7C2E390F" w14:textId="77777777" w:rsidR="00FB6890" w:rsidRPr="00BC35F0" w:rsidRDefault="00FB6890" w:rsidP="00FB6890">
      <w:pPr>
        <w:spacing w:before="100" w:beforeAutospacing="1" w:after="100" w:afterAutospacing="1" w:line="240" w:lineRule="auto"/>
        <w:outlineLvl w:val="2"/>
        <w:rPr>
          <w:rFonts w:asciiTheme="majorHAnsi" w:eastAsia="Times New Roman" w:hAnsiTheme="majorHAnsi" w:cs="Times New Roman"/>
          <w:b/>
          <w:bCs/>
          <w:sz w:val="28"/>
          <w:szCs w:val="28"/>
        </w:rPr>
      </w:pPr>
      <w:r w:rsidRPr="00BC35F0">
        <w:rPr>
          <w:rFonts w:asciiTheme="majorHAnsi" w:eastAsia="Times New Roman" w:hAnsiTheme="majorHAnsi" w:cs="Times New Roman"/>
          <w:b/>
          <w:bCs/>
          <w:sz w:val="28"/>
          <w:szCs w:val="28"/>
        </w:rPr>
        <w:t>G Fund</w:t>
      </w:r>
    </w:p>
    <w:p w14:paraId="144FE179" w14:textId="77777777" w:rsidR="00FB6890" w:rsidRPr="00BC35F0" w:rsidRDefault="00FB6890" w:rsidP="00FB6890">
      <w:pPr>
        <w:spacing w:before="100" w:beforeAutospacing="1" w:after="100" w:afterAutospacing="1" w:line="240" w:lineRule="auto"/>
        <w:rPr>
          <w:rFonts w:asciiTheme="majorHAnsi" w:eastAsia="Times New Roman" w:hAnsiTheme="majorHAnsi" w:cs="Times New Roman"/>
          <w:sz w:val="28"/>
          <w:szCs w:val="28"/>
        </w:rPr>
      </w:pPr>
      <w:r w:rsidRPr="00BC35F0">
        <w:rPr>
          <w:rFonts w:asciiTheme="majorHAnsi" w:eastAsia="Times New Roman" w:hAnsiTheme="majorHAnsi" w:cs="Times New Roman"/>
          <w:sz w:val="28"/>
          <w:szCs w:val="28"/>
        </w:rPr>
        <w:t>The G Fund assets are managed by the Federal Retirement Thrift Investment Board. The G Fund buys a nonmarketable U.S. Treasury security that is gua</w:t>
      </w:r>
      <w:r>
        <w:rPr>
          <w:rFonts w:asciiTheme="majorHAnsi" w:eastAsia="Times New Roman" w:hAnsiTheme="majorHAnsi" w:cs="Times New Roman"/>
          <w:sz w:val="28"/>
          <w:szCs w:val="28"/>
        </w:rPr>
        <w:t xml:space="preserve">ranteed by the U.S. Government, so it can’t </w:t>
      </w:r>
      <w:r w:rsidRPr="00BC35F0">
        <w:rPr>
          <w:rFonts w:asciiTheme="majorHAnsi" w:eastAsia="Times New Roman" w:hAnsiTheme="majorHAnsi" w:cs="Times New Roman"/>
          <w:sz w:val="28"/>
          <w:szCs w:val="28"/>
        </w:rPr>
        <w:t>lose money.</w:t>
      </w:r>
    </w:p>
    <w:p w14:paraId="57899D85" w14:textId="77777777" w:rsidR="00FB6890" w:rsidRPr="00BC35F0" w:rsidRDefault="00FB6890" w:rsidP="00FB6890">
      <w:pPr>
        <w:spacing w:before="100" w:beforeAutospacing="1" w:after="100" w:afterAutospacing="1" w:line="240" w:lineRule="auto"/>
        <w:outlineLvl w:val="2"/>
        <w:rPr>
          <w:rFonts w:asciiTheme="majorHAnsi" w:eastAsia="Times New Roman" w:hAnsiTheme="majorHAnsi" w:cs="Times New Roman"/>
          <w:b/>
          <w:bCs/>
          <w:sz w:val="28"/>
          <w:szCs w:val="28"/>
        </w:rPr>
      </w:pPr>
      <w:bookmarkStart w:id="0" w:name="FCSIFunds"/>
      <w:bookmarkEnd w:id="0"/>
      <w:r w:rsidRPr="00BC35F0">
        <w:rPr>
          <w:rFonts w:asciiTheme="majorHAnsi" w:eastAsia="Times New Roman" w:hAnsiTheme="majorHAnsi" w:cs="Times New Roman"/>
          <w:b/>
          <w:bCs/>
          <w:sz w:val="28"/>
          <w:szCs w:val="28"/>
        </w:rPr>
        <w:t>F,</w:t>
      </w:r>
      <w:r w:rsidRPr="00FB6890">
        <w:rPr>
          <w:rFonts w:asciiTheme="majorHAnsi" w:eastAsia="Times New Roman" w:hAnsiTheme="majorHAnsi" w:cs="Times New Roman"/>
          <w:b/>
          <w:bCs/>
          <w:sz w:val="28"/>
          <w:szCs w:val="28"/>
        </w:rPr>
        <w:t xml:space="preserve"> </w:t>
      </w:r>
      <w:r w:rsidRPr="00BC35F0">
        <w:rPr>
          <w:rFonts w:asciiTheme="majorHAnsi" w:eastAsia="Times New Roman" w:hAnsiTheme="majorHAnsi" w:cs="Times New Roman"/>
          <w:b/>
          <w:bCs/>
          <w:sz w:val="28"/>
          <w:szCs w:val="28"/>
        </w:rPr>
        <w:t>C,</w:t>
      </w:r>
      <w:r w:rsidRPr="00FB6890">
        <w:rPr>
          <w:rFonts w:asciiTheme="majorHAnsi" w:eastAsia="Times New Roman" w:hAnsiTheme="majorHAnsi" w:cs="Times New Roman"/>
          <w:b/>
          <w:bCs/>
          <w:sz w:val="28"/>
          <w:szCs w:val="28"/>
        </w:rPr>
        <w:t xml:space="preserve"> </w:t>
      </w:r>
      <w:r w:rsidRPr="00BC35F0">
        <w:rPr>
          <w:rFonts w:asciiTheme="majorHAnsi" w:eastAsia="Times New Roman" w:hAnsiTheme="majorHAnsi" w:cs="Times New Roman"/>
          <w:b/>
          <w:bCs/>
          <w:sz w:val="28"/>
          <w:szCs w:val="28"/>
        </w:rPr>
        <w:t>S, and I Funds</w:t>
      </w:r>
    </w:p>
    <w:p w14:paraId="556CEADB" w14:textId="77777777" w:rsidR="00FB6890" w:rsidRPr="00BC35F0" w:rsidRDefault="00FB6890" w:rsidP="00FB6890">
      <w:pPr>
        <w:spacing w:before="100" w:beforeAutospacing="1" w:after="100" w:afterAutospacing="1" w:line="240" w:lineRule="auto"/>
        <w:rPr>
          <w:rFonts w:asciiTheme="majorHAnsi" w:eastAsia="Times New Roman" w:hAnsiTheme="majorHAnsi" w:cs="Times New Roman"/>
          <w:sz w:val="28"/>
          <w:szCs w:val="28"/>
        </w:rPr>
      </w:pPr>
      <w:r w:rsidRPr="00BC35F0">
        <w:rPr>
          <w:rFonts w:asciiTheme="majorHAnsi" w:eastAsia="Times New Roman" w:hAnsiTheme="majorHAnsi" w:cs="Times New Roman"/>
          <w:sz w:val="28"/>
          <w:szCs w:val="28"/>
        </w:rPr>
        <w:t xml:space="preserve">The Federal Retirement Thrift Investment Board currently contracts BlackRock Institutional Trust Company, N.A. (BlackRock) to manage the F, C, S, and I Fund assets. The F and C Fund assets are held in </w:t>
      </w:r>
      <w:hyperlink r:id="rId7" w:tooltip="Glossary term will open in a new window." w:history="1">
        <w:r w:rsidRPr="00BC35F0">
          <w:rPr>
            <w:rFonts w:asciiTheme="majorHAnsi" w:eastAsia="Times New Roman" w:hAnsiTheme="majorHAnsi" w:cs="Times New Roman"/>
            <w:sz w:val="28"/>
            <w:szCs w:val="28"/>
          </w:rPr>
          <w:t>separate accounts</w:t>
        </w:r>
      </w:hyperlink>
      <w:r w:rsidRPr="00BC35F0">
        <w:rPr>
          <w:rFonts w:asciiTheme="majorHAnsi" w:eastAsia="Times New Roman" w:hAnsiTheme="majorHAnsi" w:cs="Times New Roman"/>
          <w:sz w:val="28"/>
          <w:szCs w:val="28"/>
        </w:rPr>
        <w:t>.</w:t>
      </w:r>
    </w:p>
    <w:p w14:paraId="53DF2DC7" w14:textId="2E6AA81E" w:rsidR="00A648AE" w:rsidRPr="003E1601" w:rsidRDefault="00851F3D" w:rsidP="003E1601">
      <w:pPr>
        <w:spacing w:before="100" w:beforeAutospacing="1" w:after="100" w:afterAutospacing="1"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These</w:t>
      </w:r>
      <w:r w:rsidR="00FB6890" w:rsidRPr="00BC35F0">
        <w:rPr>
          <w:rFonts w:asciiTheme="majorHAnsi" w:eastAsia="Times New Roman" w:hAnsiTheme="majorHAnsi" w:cs="Times New Roman"/>
          <w:sz w:val="28"/>
          <w:szCs w:val="28"/>
        </w:rPr>
        <w:t xml:space="preserve"> Funds are </w:t>
      </w:r>
      <w:hyperlink r:id="rId8" w:tooltip="Glossary term will open in a new window." w:history="1">
        <w:r w:rsidR="00FB6890" w:rsidRPr="00BC35F0">
          <w:rPr>
            <w:rFonts w:asciiTheme="majorHAnsi" w:eastAsia="Times New Roman" w:hAnsiTheme="majorHAnsi" w:cs="Times New Roman"/>
            <w:sz w:val="28"/>
            <w:szCs w:val="28"/>
          </w:rPr>
          <w:t>index funds</w:t>
        </w:r>
      </w:hyperlink>
      <w:r w:rsidR="00FB6890" w:rsidRPr="00BC35F0">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and</w:t>
      </w:r>
      <w:r w:rsidR="00FB6890" w:rsidRPr="00BC35F0">
        <w:rPr>
          <w:rFonts w:asciiTheme="majorHAnsi" w:eastAsia="Times New Roman" w:hAnsiTheme="majorHAnsi" w:cs="Times New Roman"/>
          <w:sz w:val="28"/>
          <w:szCs w:val="28"/>
        </w:rPr>
        <w:t xml:space="preserve"> invested in order to replicate the risk and return of its benchmark index. The F, C, S, and I Funds remain invested regardless of the performance of the securities</w:t>
      </w:r>
      <w:r w:rsidR="00A648AE">
        <w:rPr>
          <w:rFonts w:asciiTheme="majorHAnsi" w:eastAsia="Times New Roman" w:hAnsiTheme="majorHAnsi" w:cs="Times New Roman"/>
          <w:sz w:val="28"/>
          <w:szCs w:val="28"/>
        </w:rPr>
        <w:t xml:space="preserve"> markets or the overall economy, </w:t>
      </w:r>
      <w:r w:rsidR="00EB2F8B">
        <w:rPr>
          <w:rFonts w:asciiTheme="majorHAnsi" w:eastAsia="Times New Roman" w:hAnsiTheme="majorHAnsi" w:cs="Times New Roman"/>
          <w:sz w:val="28"/>
          <w:szCs w:val="28"/>
        </w:rPr>
        <w:t xml:space="preserve">so </w:t>
      </w:r>
      <w:r w:rsidR="00A648AE">
        <w:rPr>
          <w:rFonts w:asciiTheme="majorHAnsi" w:eastAsia="Times New Roman" w:hAnsiTheme="majorHAnsi" w:cs="Times New Roman"/>
          <w:sz w:val="28"/>
          <w:szCs w:val="28"/>
        </w:rPr>
        <w:t>they can and have lost money.</w:t>
      </w:r>
      <w:r w:rsidR="00EB2F8B">
        <w:rPr>
          <w:rFonts w:asciiTheme="majorHAnsi" w:eastAsia="Times New Roman" w:hAnsiTheme="majorHAnsi" w:cs="Times New Roman"/>
          <w:sz w:val="28"/>
          <w:szCs w:val="28"/>
        </w:rPr>
        <w:t xml:space="preserve"> In short, these Funds are not managed to minimize losses or maximize gains!</w:t>
      </w:r>
    </w:p>
    <w:p w14:paraId="33EC06EE" w14:textId="77777777" w:rsidR="00FB6890" w:rsidRPr="00A648AE" w:rsidRDefault="00A65D83" w:rsidP="00A648AE">
      <w:pPr>
        <w:jc w:val="center"/>
        <w:rPr>
          <w:rFonts w:asciiTheme="majorHAnsi" w:hAnsiTheme="majorHAnsi"/>
          <w:b/>
          <w:sz w:val="28"/>
          <w:szCs w:val="28"/>
        </w:rPr>
      </w:pPr>
      <w:r w:rsidRPr="00A648AE">
        <w:rPr>
          <w:rFonts w:asciiTheme="majorHAnsi" w:hAnsiTheme="majorHAnsi"/>
          <w:b/>
          <w:sz w:val="28"/>
          <w:szCs w:val="28"/>
        </w:rPr>
        <w:t>G Fund</w:t>
      </w:r>
    </w:p>
    <w:p w14:paraId="00D2B7EC" w14:textId="77777777" w:rsidR="00BC35F0"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Description:</w:t>
      </w:r>
      <w:r w:rsidRPr="00254A48">
        <w:rPr>
          <w:rFonts w:asciiTheme="majorHAnsi" w:eastAsia="Times New Roman" w:hAnsiTheme="majorHAnsi" w:cs="Times New Roman"/>
          <w:sz w:val="28"/>
          <w:szCs w:val="28"/>
        </w:rPr>
        <w:t xml:space="preserve"> </w:t>
      </w:r>
      <w:r w:rsidR="00EB2F8B">
        <w:rPr>
          <w:rFonts w:asciiTheme="majorHAnsi" w:eastAsia="Times New Roman" w:hAnsiTheme="majorHAnsi" w:cs="Times New Roman"/>
          <w:sz w:val="28"/>
          <w:szCs w:val="28"/>
        </w:rPr>
        <w:t>Government securities (only</w:t>
      </w:r>
      <w:r w:rsidRPr="00254A48">
        <w:rPr>
          <w:rFonts w:asciiTheme="majorHAnsi" w:eastAsia="Times New Roman" w:hAnsiTheme="majorHAnsi" w:cs="Times New Roman"/>
          <w:sz w:val="28"/>
          <w:szCs w:val="28"/>
        </w:rPr>
        <w:t xml:space="preserve"> issued to the TSP).</w:t>
      </w:r>
    </w:p>
    <w:p w14:paraId="2EE69BF2"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Objective:</w:t>
      </w:r>
      <w:r w:rsidRPr="00254A48">
        <w:rPr>
          <w:rFonts w:asciiTheme="majorHAnsi" w:eastAsia="Times New Roman" w:hAnsiTheme="majorHAnsi" w:cs="Times New Roman"/>
          <w:sz w:val="28"/>
          <w:szCs w:val="28"/>
        </w:rPr>
        <w:t xml:space="preserve"> Interest income without risk of loss of principal.</w:t>
      </w:r>
    </w:p>
    <w:p w14:paraId="06C33C4C" w14:textId="6F3FDB43" w:rsidR="00F95CE7" w:rsidRPr="00F95CE7" w:rsidRDefault="00A65D83" w:rsidP="00F95CE7">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Risk:</w:t>
      </w:r>
      <w:r w:rsidRPr="00254A48">
        <w:rPr>
          <w:rFonts w:asciiTheme="majorHAnsi" w:eastAsia="Times New Roman" w:hAnsiTheme="majorHAnsi" w:cs="Times New Roman"/>
          <w:sz w:val="28"/>
          <w:szCs w:val="28"/>
        </w:rPr>
        <w:t xml:space="preserve"> Inflation risk.</w:t>
      </w:r>
    </w:p>
    <w:p w14:paraId="3EE5913B" w14:textId="77777777" w:rsidR="00F95CE7" w:rsidRDefault="00F95CE7" w:rsidP="00F95CE7">
      <w:pPr>
        <w:rPr>
          <w:rFonts w:asciiTheme="majorHAnsi" w:hAnsiTheme="majorHAnsi"/>
          <w:b/>
          <w:sz w:val="28"/>
          <w:szCs w:val="28"/>
        </w:rPr>
      </w:pPr>
    </w:p>
    <w:p w14:paraId="2D0D2F6C" w14:textId="6613F66A" w:rsidR="00A65D83" w:rsidRPr="00F95CE7" w:rsidRDefault="00F95CE7" w:rsidP="00F95CE7">
      <w:pPr>
        <w:rPr>
          <w:rFonts w:asciiTheme="majorHAnsi" w:hAnsiTheme="majorHAnsi"/>
          <w:b/>
          <w:sz w:val="28"/>
          <w:szCs w:val="28"/>
        </w:rPr>
      </w:pPr>
      <w:r>
        <w:rPr>
          <w:rFonts w:asciiTheme="majorHAnsi" w:hAnsiTheme="majorHAnsi"/>
          <w:b/>
          <w:sz w:val="28"/>
          <w:szCs w:val="28"/>
        </w:rPr>
        <w:t xml:space="preserve">                                                                    </w:t>
      </w:r>
      <w:r w:rsidR="00A65D83" w:rsidRPr="00F95CE7">
        <w:rPr>
          <w:rFonts w:asciiTheme="majorHAnsi" w:hAnsiTheme="majorHAnsi"/>
          <w:b/>
          <w:sz w:val="28"/>
          <w:szCs w:val="28"/>
        </w:rPr>
        <w:t>F Fund</w:t>
      </w:r>
    </w:p>
    <w:p w14:paraId="6DE11A93" w14:textId="77777777" w:rsidR="00A648AE" w:rsidRPr="00A648AE" w:rsidRDefault="00A648AE" w:rsidP="00A648AE">
      <w:pPr>
        <w:pStyle w:val="ListParagraph"/>
        <w:jc w:val="center"/>
        <w:rPr>
          <w:rFonts w:asciiTheme="majorHAnsi" w:hAnsiTheme="majorHAnsi"/>
          <w:b/>
          <w:sz w:val="28"/>
          <w:szCs w:val="28"/>
        </w:rPr>
      </w:pPr>
    </w:p>
    <w:p w14:paraId="6FC55928"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Description:</w:t>
      </w:r>
      <w:r w:rsidRPr="00254A48">
        <w:rPr>
          <w:rFonts w:asciiTheme="majorHAnsi" w:eastAsia="Times New Roman" w:hAnsiTheme="majorHAnsi" w:cs="Times New Roman"/>
          <w:sz w:val="28"/>
          <w:szCs w:val="28"/>
        </w:rPr>
        <w:t xml:space="preserve"> </w:t>
      </w:r>
      <w:r w:rsidR="00A52B42" w:rsidRPr="00254A48">
        <w:rPr>
          <w:rFonts w:asciiTheme="majorHAnsi" w:eastAsia="Times New Roman" w:hAnsiTheme="majorHAnsi" w:cs="Times New Roman"/>
          <w:sz w:val="28"/>
          <w:szCs w:val="28"/>
        </w:rPr>
        <w:t>Government, corporate, and mortgage-backed bonds</w:t>
      </w:r>
    </w:p>
    <w:p w14:paraId="00FA5922"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Objective:</w:t>
      </w:r>
      <w:r w:rsidRPr="00254A48">
        <w:rPr>
          <w:rFonts w:asciiTheme="majorHAnsi" w:eastAsia="Times New Roman" w:hAnsiTheme="majorHAnsi" w:cs="Times New Roman"/>
          <w:sz w:val="28"/>
          <w:szCs w:val="28"/>
        </w:rPr>
        <w:t xml:space="preserve"> </w:t>
      </w:r>
      <w:r w:rsidR="00A52B42" w:rsidRPr="00254A48">
        <w:rPr>
          <w:rFonts w:asciiTheme="majorHAnsi" w:eastAsia="Times New Roman" w:hAnsiTheme="majorHAnsi" w:cs="Times New Roman"/>
          <w:sz w:val="28"/>
          <w:szCs w:val="28"/>
        </w:rPr>
        <w:t>To match the performance of the Barclays Capital U.S. Aggregate Bond Index</w:t>
      </w:r>
    </w:p>
    <w:p w14:paraId="1F3A1BBC"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Risk:</w:t>
      </w:r>
      <w:r w:rsidRPr="00254A48">
        <w:rPr>
          <w:rFonts w:asciiTheme="majorHAnsi" w:eastAsia="Times New Roman" w:hAnsiTheme="majorHAnsi" w:cs="Times New Roman"/>
          <w:sz w:val="28"/>
          <w:szCs w:val="28"/>
        </w:rPr>
        <w:t xml:space="preserve"> </w:t>
      </w:r>
      <w:r w:rsidR="00A52B42" w:rsidRPr="00254A48">
        <w:rPr>
          <w:rFonts w:asciiTheme="majorHAnsi" w:eastAsia="Times New Roman" w:hAnsiTheme="majorHAnsi" w:cs="Times New Roman"/>
          <w:sz w:val="28"/>
          <w:szCs w:val="28"/>
        </w:rPr>
        <w:t>Market risk, Credit risk, Prepayment risk, Inflation risk</w:t>
      </w:r>
    </w:p>
    <w:p w14:paraId="1346BF7C" w14:textId="77777777" w:rsidR="00A65D83" w:rsidRPr="00254A48" w:rsidRDefault="00A65D83" w:rsidP="00A65D83">
      <w:pPr>
        <w:pStyle w:val="ListParagraph"/>
        <w:rPr>
          <w:rFonts w:asciiTheme="majorHAnsi" w:hAnsiTheme="majorHAnsi"/>
          <w:sz w:val="28"/>
          <w:szCs w:val="28"/>
        </w:rPr>
      </w:pPr>
    </w:p>
    <w:p w14:paraId="1C2CC244" w14:textId="77777777" w:rsidR="00A65D83" w:rsidRPr="00254A48" w:rsidRDefault="00A65D83" w:rsidP="00A65D83">
      <w:pPr>
        <w:pStyle w:val="ListParagraph"/>
        <w:rPr>
          <w:rFonts w:asciiTheme="majorHAnsi" w:hAnsiTheme="majorHAnsi"/>
          <w:sz w:val="28"/>
          <w:szCs w:val="28"/>
        </w:rPr>
      </w:pPr>
    </w:p>
    <w:p w14:paraId="7C256E19" w14:textId="0B83DA40" w:rsidR="00A65D83" w:rsidRDefault="00F95CE7" w:rsidP="00F95CE7">
      <w:pPr>
        <w:pStyle w:val="ListParagraph"/>
        <w:rPr>
          <w:rFonts w:asciiTheme="majorHAnsi" w:hAnsiTheme="majorHAnsi"/>
          <w:b/>
          <w:sz w:val="28"/>
          <w:szCs w:val="28"/>
        </w:rPr>
      </w:pPr>
      <w:r>
        <w:rPr>
          <w:rFonts w:asciiTheme="majorHAnsi" w:hAnsiTheme="majorHAnsi"/>
          <w:b/>
          <w:sz w:val="28"/>
          <w:szCs w:val="28"/>
        </w:rPr>
        <w:t xml:space="preserve">                                                         </w:t>
      </w:r>
      <w:r w:rsidR="00A65D83" w:rsidRPr="00A648AE">
        <w:rPr>
          <w:rFonts w:asciiTheme="majorHAnsi" w:hAnsiTheme="majorHAnsi"/>
          <w:b/>
          <w:sz w:val="28"/>
          <w:szCs w:val="28"/>
        </w:rPr>
        <w:t>C Fund</w:t>
      </w:r>
    </w:p>
    <w:p w14:paraId="42FDB0E7" w14:textId="77777777" w:rsidR="00A648AE" w:rsidRPr="00A648AE" w:rsidRDefault="00A648AE" w:rsidP="00A648AE">
      <w:pPr>
        <w:pStyle w:val="ListParagraph"/>
        <w:jc w:val="center"/>
        <w:rPr>
          <w:rFonts w:asciiTheme="majorHAnsi" w:hAnsiTheme="majorHAnsi"/>
          <w:b/>
          <w:sz w:val="28"/>
          <w:szCs w:val="28"/>
        </w:rPr>
      </w:pPr>
    </w:p>
    <w:p w14:paraId="19785ADF"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Description</w:t>
      </w:r>
      <w:r w:rsidRPr="00254A48">
        <w:rPr>
          <w:rFonts w:asciiTheme="majorHAnsi" w:eastAsia="Times New Roman" w:hAnsiTheme="majorHAnsi" w:cs="Times New Roman"/>
          <w:sz w:val="28"/>
          <w:szCs w:val="28"/>
        </w:rPr>
        <w:t xml:space="preserve">: </w:t>
      </w:r>
      <w:r w:rsidR="00A52B42" w:rsidRPr="00254A48">
        <w:rPr>
          <w:rFonts w:asciiTheme="majorHAnsi" w:eastAsia="Times New Roman" w:hAnsiTheme="majorHAnsi" w:cs="Times New Roman"/>
          <w:sz w:val="28"/>
          <w:szCs w:val="28"/>
        </w:rPr>
        <w:t>Stocks of large and medium-sized U.S. companies</w:t>
      </w:r>
    </w:p>
    <w:p w14:paraId="3942E565"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Objective:</w:t>
      </w:r>
      <w:r w:rsidR="00254A48" w:rsidRPr="00254A48">
        <w:rPr>
          <w:rFonts w:asciiTheme="majorHAnsi" w:eastAsia="Times New Roman" w:hAnsiTheme="majorHAnsi" w:cs="Times New Roman"/>
          <w:sz w:val="28"/>
          <w:szCs w:val="28"/>
        </w:rPr>
        <w:t xml:space="preserve"> match the performance of the </w:t>
      </w:r>
      <w:r w:rsidR="00A648AE">
        <w:rPr>
          <w:rFonts w:asciiTheme="majorHAnsi" w:eastAsia="Times New Roman" w:hAnsiTheme="majorHAnsi" w:cs="Times New Roman"/>
          <w:sz w:val="28"/>
          <w:szCs w:val="28"/>
        </w:rPr>
        <w:t>S&amp;P 500</w:t>
      </w:r>
      <w:r w:rsidR="00254A48" w:rsidRPr="00254A48">
        <w:rPr>
          <w:rFonts w:asciiTheme="majorHAnsi" w:eastAsia="Times New Roman" w:hAnsiTheme="majorHAnsi" w:cs="Times New Roman"/>
          <w:sz w:val="28"/>
          <w:szCs w:val="28"/>
        </w:rPr>
        <w:t xml:space="preserve"> Index</w:t>
      </w:r>
    </w:p>
    <w:p w14:paraId="56671900" w14:textId="77777777" w:rsidR="00A65D83" w:rsidRPr="00A648AE" w:rsidRDefault="00A65D83" w:rsidP="00A65D83">
      <w:pPr>
        <w:pStyle w:val="ListParagraph"/>
        <w:numPr>
          <w:ilvl w:val="0"/>
          <w:numId w:val="9"/>
        </w:numPr>
        <w:rPr>
          <w:rFonts w:asciiTheme="majorHAnsi" w:hAnsiTheme="majorHAnsi"/>
          <w:b/>
          <w:sz w:val="28"/>
          <w:szCs w:val="28"/>
        </w:rPr>
      </w:pPr>
      <w:r w:rsidRPr="00A648AE">
        <w:rPr>
          <w:rFonts w:asciiTheme="majorHAnsi" w:eastAsia="Times New Roman" w:hAnsiTheme="majorHAnsi" w:cs="Times New Roman"/>
          <w:b/>
          <w:sz w:val="28"/>
          <w:szCs w:val="28"/>
        </w:rPr>
        <w:t xml:space="preserve">Risk: </w:t>
      </w:r>
      <w:r w:rsidR="00A648AE">
        <w:rPr>
          <w:rFonts w:asciiTheme="majorHAnsi" w:eastAsia="Times New Roman" w:hAnsiTheme="majorHAnsi" w:cs="Times New Roman"/>
          <w:sz w:val="28"/>
          <w:szCs w:val="28"/>
        </w:rPr>
        <w:t>Medium-to-High</w:t>
      </w:r>
    </w:p>
    <w:p w14:paraId="4C36EF83" w14:textId="77777777" w:rsidR="00A65D83" w:rsidRPr="00254A48" w:rsidRDefault="00A65D83" w:rsidP="00A65D83">
      <w:pPr>
        <w:pStyle w:val="ListParagraph"/>
        <w:rPr>
          <w:rFonts w:asciiTheme="majorHAnsi" w:hAnsiTheme="majorHAnsi"/>
          <w:sz w:val="28"/>
          <w:szCs w:val="28"/>
        </w:rPr>
      </w:pPr>
    </w:p>
    <w:p w14:paraId="728F5E9C" w14:textId="25C66B1A" w:rsidR="00A65D83" w:rsidRDefault="00F95CE7" w:rsidP="00F95CE7">
      <w:pPr>
        <w:pStyle w:val="ListParagraph"/>
        <w:rPr>
          <w:rFonts w:asciiTheme="majorHAnsi" w:hAnsiTheme="majorHAnsi"/>
          <w:b/>
          <w:sz w:val="28"/>
          <w:szCs w:val="28"/>
        </w:rPr>
      </w:pPr>
      <w:r>
        <w:rPr>
          <w:rFonts w:asciiTheme="majorHAnsi" w:hAnsiTheme="majorHAnsi"/>
          <w:b/>
          <w:sz w:val="28"/>
          <w:szCs w:val="28"/>
        </w:rPr>
        <w:t xml:space="preserve">                                                          </w:t>
      </w:r>
      <w:r w:rsidR="00A52B42" w:rsidRPr="00A648AE">
        <w:rPr>
          <w:rFonts w:asciiTheme="majorHAnsi" w:hAnsiTheme="majorHAnsi"/>
          <w:b/>
          <w:sz w:val="28"/>
          <w:szCs w:val="28"/>
        </w:rPr>
        <w:t>S Fund</w:t>
      </w:r>
    </w:p>
    <w:p w14:paraId="012D87B4" w14:textId="77777777" w:rsidR="00A648AE" w:rsidRPr="00A648AE" w:rsidRDefault="00A648AE" w:rsidP="00A648AE">
      <w:pPr>
        <w:pStyle w:val="ListParagraph"/>
        <w:jc w:val="center"/>
        <w:rPr>
          <w:rFonts w:asciiTheme="majorHAnsi" w:hAnsiTheme="majorHAnsi"/>
          <w:b/>
          <w:sz w:val="28"/>
          <w:szCs w:val="28"/>
        </w:rPr>
      </w:pPr>
    </w:p>
    <w:p w14:paraId="4ABBAFC6" w14:textId="77777777" w:rsidR="00254A48" w:rsidRPr="00A648AE" w:rsidRDefault="00254A48" w:rsidP="00254A48">
      <w:pPr>
        <w:pStyle w:val="ListParagraph"/>
        <w:numPr>
          <w:ilvl w:val="0"/>
          <w:numId w:val="9"/>
        </w:numPr>
        <w:rPr>
          <w:rFonts w:asciiTheme="majorHAnsi" w:hAnsiTheme="majorHAnsi"/>
          <w:b/>
          <w:sz w:val="28"/>
          <w:szCs w:val="28"/>
        </w:rPr>
      </w:pPr>
      <w:r w:rsidRPr="00A648AE">
        <w:rPr>
          <w:rFonts w:asciiTheme="majorHAnsi" w:eastAsia="Times New Roman" w:hAnsiTheme="majorHAnsi" w:cs="Times New Roman"/>
          <w:b/>
          <w:sz w:val="28"/>
          <w:szCs w:val="28"/>
        </w:rPr>
        <w:t>Description:</w:t>
      </w:r>
      <w:r w:rsidR="00A648AE" w:rsidRPr="00A648AE">
        <w:t xml:space="preserve"> </w:t>
      </w:r>
      <w:r w:rsidR="00A648AE" w:rsidRPr="00A648AE">
        <w:rPr>
          <w:rFonts w:asciiTheme="majorHAnsi" w:hAnsiTheme="majorHAnsi"/>
          <w:sz w:val="28"/>
          <w:szCs w:val="28"/>
        </w:rPr>
        <w:t>Stocks of small to medium-sized U.S. companies (not included in the C Fund)</w:t>
      </w:r>
    </w:p>
    <w:p w14:paraId="1D531F4B" w14:textId="77777777" w:rsidR="00254A48" w:rsidRPr="00A648AE" w:rsidRDefault="00254A48" w:rsidP="00254A48">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Objective:</w:t>
      </w:r>
      <w:r w:rsidRPr="00254A48">
        <w:rPr>
          <w:rFonts w:asciiTheme="majorHAnsi" w:eastAsia="Times New Roman" w:hAnsiTheme="majorHAnsi" w:cs="Times New Roman"/>
          <w:sz w:val="28"/>
          <w:szCs w:val="28"/>
        </w:rPr>
        <w:t xml:space="preserve"> match the performance of the Dow Jones U.S. Completion TSM Index</w:t>
      </w:r>
    </w:p>
    <w:p w14:paraId="018A2A5D" w14:textId="3E5299A6" w:rsidR="00006030" w:rsidRPr="00F95CE7" w:rsidRDefault="00A648AE" w:rsidP="00F95CE7">
      <w:pPr>
        <w:pStyle w:val="ListParagraph"/>
        <w:numPr>
          <w:ilvl w:val="0"/>
          <w:numId w:val="9"/>
        </w:numPr>
        <w:rPr>
          <w:rFonts w:asciiTheme="majorHAnsi" w:hAnsiTheme="majorHAnsi"/>
          <w:sz w:val="28"/>
          <w:szCs w:val="28"/>
        </w:rPr>
      </w:pPr>
      <w:r>
        <w:rPr>
          <w:rFonts w:asciiTheme="majorHAnsi" w:eastAsia="Times New Roman" w:hAnsiTheme="majorHAnsi" w:cs="Times New Roman"/>
          <w:b/>
          <w:sz w:val="28"/>
          <w:szCs w:val="28"/>
        </w:rPr>
        <w:t>Risk:</w:t>
      </w:r>
      <w:r>
        <w:rPr>
          <w:rFonts w:asciiTheme="majorHAnsi" w:hAnsiTheme="majorHAnsi"/>
          <w:sz w:val="28"/>
          <w:szCs w:val="28"/>
        </w:rPr>
        <w:t xml:space="preserve"> </w:t>
      </w:r>
      <w:r>
        <w:rPr>
          <w:rFonts w:asciiTheme="majorHAnsi" w:eastAsia="Times New Roman" w:hAnsiTheme="majorHAnsi" w:cs="Times New Roman"/>
          <w:sz w:val="28"/>
          <w:szCs w:val="28"/>
        </w:rPr>
        <w:t>Medium-to-High</w:t>
      </w:r>
    </w:p>
    <w:p w14:paraId="2C87EAA8" w14:textId="77777777" w:rsidR="00A65D83" w:rsidRPr="00A648AE" w:rsidRDefault="00A65D83" w:rsidP="00A648AE">
      <w:pPr>
        <w:pStyle w:val="ListParagraph"/>
        <w:jc w:val="center"/>
        <w:rPr>
          <w:rFonts w:asciiTheme="majorHAnsi" w:hAnsiTheme="majorHAnsi"/>
          <w:b/>
          <w:sz w:val="28"/>
          <w:szCs w:val="28"/>
        </w:rPr>
      </w:pPr>
      <w:r w:rsidRPr="00A648AE">
        <w:rPr>
          <w:rFonts w:asciiTheme="majorHAnsi" w:hAnsiTheme="majorHAnsi"/>
          <w:b/>
          <w:sz w:val="28"/>
          <w:szCs w:val="28"/>
        </w:rPr>
        <w:t>I Fund</w:t>
      </w:r>
    </w:p>
    <w:p w14:paraId="754203B3" w14:textId="77777777" w:rsidR="00A52B42" w:rsidRPr="00254A48" w:rsidRDefault="00A52B42" w:rsidP="00A65D83">
      <w:pPr>
        <w:pStyle w:val="ListParagraph"/>
        <w:rPr>
          <w:rFonts w:asciiTheme="majorHAnsi" w:hAnsiTheme="majorHAnsi"/>
          <w:sz w:val="28"/>
          <w:szCs w:val="28"/>
        </w:rPr>
      </w:pPr>
    </w:p>
    <w:p w14:paraId="0094D91D" w14:textId="77777777" w:rsidR="00A52B42" w:rsidRPr="00254A48" w:rsidRDefault="00A52B42" w:rsidP="00A52B42">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Description:</w:t>
      </w:r>
      <w:r w:rsidRPr="00254A48">
        <w:rPr>
          <w:rFonts w:asciiTheme="majorHAnsi" w:eastAsia="Times New Roman" w:hAnsiTheme="majorHAnsi" w:cs="Times New Roman"/>
          <w:sz w:val="28"/>
          <w:szCs w:val="28"/>
        </w:rPr>
        <w:t xml:space="preserve"> International stocks of more than 20 developed countries</w:t>
      </w:r>
    </w:p>
    <w:p w14:paraId="6959D8C4" w14:textId="77777777" w:rsidR="00A52B42" w:rsidRPr="00254A48" w:rsidRDefault="00A52B42" w:rsidP="00A52B42">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Objective:</w:t>
      </w:r>
      <w:r w:rsidRPr="00254A48">
        <w:rPr>
          <w:rFonts w:asciiTheme="majorHAnsi" w:eastAsia="Times New Roman" w:hAnsiTheme="majorHAnsi" w:cs="Times New Roman"/>
          <w:sz w:val="28"/>
          <w:szCs w:val="28"/>
        </w:rPr>
        <w:t xml:space="preserve"> </w:t>
      </w:r>
      <w:r w:rsidR="00254A48" w:rsidRPr="00254A48">
        <w:rPr>
          <w:rFonts w:asciiTheme="majorHAnsi" w:eastAsia="Times New Roman" w:hAnsiTheme="majorHAnsi" w:cs="Times New Roman"/>
          <w:sz w:val="28"/>
          <w:szCs w:val="28"/>
        </w:rPr>
        <w:t>match the performance of the MSCI EAFE (Europe, Australasia, Far East) Index</w:t>
      </w:r>
    </w:p>
    <w:p w14:paraId="36DDCFFD" w14:textId="77777777" w:rsidR="00A52B42" w:rsidRPr="00A648AE" w:rsidRDefault="00A52B42" w:rsidP="00A52B42">
      <w:pPr>
        <w:pStyle w:val="ListParagraph"/>
        <w:numPr>
          <w:ilvl w:val="0"/>
          <w:numId w:val="9"/>
        </w:numPr>
        <w:rPr>
          <w:rFonts w:asciiTheme="majorHAnsi" w:hAnsiTheme="majorHAnsi"/>
          <w:b/>
          <w:sz w:val="28"/>
          <w:szCs w:val="28"/>
        </w:rPr>
      </w:pPr>
      <w:r w:rsidRPr="00A648AE">
        <w:rPr>
          <w:rFonts w:asciiTheme="majorHAnsi" w:eastAsia="Times New Roman" w:hAnsiTheme="majorHAnsi" w:cs="Times New Roman"/>
          <w:b/>
          <w:sz w:val="28"/>
          <w:szCs w:val="28"/>
        </w:rPr>
        <w:t xml:space="preserve">Risk: </w:t>
      </w:r>
      <w:r w:rsidR="00A648AE" w:rsidRPr="00A648AE">
        <w:rPr>
          <w:rFonts w:asciiTheme="majorHAnsi" w:eastAsia="Times New Roman" w:hAnsiTheme="majorHAnsi" w:cs="Times New Roman"/>
          <w:sz w:val="28"/>
          <w:szCs w:val="28"/>
        </w:rPr>
        <w:t>High</w:t>
      </w:r>
    </w:p>
    <w:p w14:paraId="7680FAB8" w14:textId="77777777" w:rsidR="00A65D83" w:rsidRPr="00254A48" w:rsidRDefault="00A65D83" w:rsidP="00A65D83">
      <w:pPr>
        <w:pStyle w:val="ListParagraph"/>
        <w:rPr>
          <w:rFonts w:asciiTheme="majorHAnsi" w:hAnsiTheme="majorHAnsi"/>
          <w:sz w:val="28"/>
          <w:szCs w:val="28"/>
        </w:rPr>
      </w:pPr>
    </w:p>
    <w:p w14:paraId="4D1F4E91" w14:textId="77777777" w:rsidR="00A65D83" w:rsidRPr="00A648AE" w:rsidRDefault="00A65D83" w:rsidP="00A648AE">
      <w:pPr>
        <w:pStyle w:val="ListParagraph"/>
        <w:jc w:val="center"/>
        <w:rPr>
          <w:rFonts w:asciiTheme="majorHAnsi" w:hAnsiTheme="majorHAnsi"/>
          <w:b/>
          <w:sz w:val="28"/>
          <w:szCs w:val="28"/>
        </w:rPr>
      </w:pPr>
      <w:r w:rsidRPr="00A648AE">
        <w:rPr>
          <w:rFonts w:asciiTheme="majorHAnsi" w:hAnsiTheme="majorHAnsi"/>
          <w:b/>
          <w:sz w:val="28"/>
          <w:szCs w:val="28"/>
        </w:rPr>
        <w:t>L Funds</w:t>
      </w:r>
    </w:p>
    <w:p w14:paraId="4515F5E7" w14:textId="77777777" w:rsidR="00A65D83" w:rsidRPr="00254A48" w:rsidRDefault="00A65D83" w:rsidP="00A65D83">
      <w:pPr>
        <w:pStyle w:val="ListParagraph"/>
        <w:rPr>
          <w:rFonts w:asciiTheme="majorHAnsi" w:hAnsiTheme="majorHAnsi"/>
          <w:sz w:val="28"/>
          <w:szCs w:val="28"/>
        </w:rPr>
      </w:pPr>
    </w:p>
    <w:p w14:paraId="768787F7"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Description:</w:t>
      </w:r>
      <w:r w:rsidRPr="00254A48">
        <w:rPr>
          <w:rFonts w:asciiTheme="majorHAnsi" w:eastAsia="Times New Roman" w:hAnsiTheme="majorHAnsi" w:cs="Times New Roman"/>
          <w:sz w:val="28"/>
          <w:szCs w:val="28"/>
        </w:rPr>
        <w:t xml:space="preserve"> </w:t>
      </w:r>
      <w:r w:rsidR="00A52B42" w:rsidRPr="00254A48">
        <w:rPr>
          <w:rFonts w:asciiTheme="majorHAnsi" w:eastAsia="Times New Roman" w:hAnsiTheme="majorHAnsi" w:cs="Times New Roman"/>
          <w:sz w:val="28"/>
          <w:szCs w:val="28"/>
        </w:rPr>
        <w:t>Invested in the G, F, C, S, and I Funds</w:t>
      </w:r>
    </w:p>
    <w:p w14:paraId="487801E5" w14:textId="77777777" w:rsidR="00A65D83" w:rsidRPr="00254A48" w:rsidRDefault="00A65D83" w:rsidP="00A65D83">
      <w:pPr>
        <w:pStyle w:val="ListParagraph"/>
        <w:numPr>
          <w:ilvl w:val="0"/>
          <w:numId w:val="9"/>
        </w:numPr>
        <w:rPr>
          <w:rFonts w:asciiTheme="majorHAnsi" w:hAnsiTheme="majorHAnsi"/>
          <w:sz w:val="28"/>
          <w:szCs w:val="28"/>
        </w:rPr>
      </w:pPr>
      <w:r w:rsidRPr="00A648AE">
        <w:rPr>
          <w:rFonts w:asciiTheme="majorHAnsi" w:eastAsia="Times New Roman" w:hAnsiTheme="majorHAnsi" w:cs="Times New Roman"/>
          <w:b/>
          <w:sz w:val="28"/>
          <w:szCs w:val="28"/>
        </w:rPr>
        <w:t>Objective:</w:t>
      </w:r>
      <w:r w:rsidRPr="00254A48">
        <w:rPr>
          <w:rFonts w:asciiTheme="majorHAnsi" w:eastAsia="Times New Roman" w:hAnsiTheme="majorHAnsi" w:cs="Times New Roman"/>
          <w:sz w:val="28"/>
          <w:szCs w:val="28"/>
        </w:rPr>
        <w:t xml:space="preserve"> </w:t>
      </w:r>
      <w:r w:rsidR="00254A48" w:rsidRPr="00254A48">
        <w:rPr>
          <w:rFonts w:asciiTheme="majorHAnsi" w:eastAsia="Times New Roman" w:hAnsiTheme="majorHAnsi" w:cs="Times New Roman"/>
          <w:sz w:val="28"/>
          <w:szCs w:val="28"/>
        </w:rPr>
        <w:t>To provide professionally diversified portfolios based on various time horizons, using the G, F, C, S, and I Funds</w:t>
      </w:r>
    </w:p>
    <w:p w14:paraId="3EED8F13" w14:textId="77777777" w:rsidR="00A65D83" w:rsidRPr="00A648AE" w:rsidRDefault="00A65D83" w:rsidP="00A65D83">
      <w:pPr>
        <w:pStyle w:val="ListParagraph"/>
        <w:numPr>
          <w:ilvl w:val="0"/>
          <w:numId w:val="9"/>
        </w:numPr>
        <w:rPr>
          <w:rFonts w:asciiTheme="majorHAnsi" w:hAnsiTheme="majorHAnsi"/>
          <w:b/>
          <w:sz w:val="28"/>
          <w:szCs w:val="28"/>
        </w:rPr>
      </w:pPr>
      <w:r w:rsidRPr="00A648AE">
        <w:rPr>
          <w:rFonts w:asciiTheme="majorHAnsi" w:eastAsia="Times New Roman" w:hAnsiTheme="majorHAnsi" w:cs="Times New Roman"/>
          <w:b/>
          <w:sz w:val="28"/>
          <w:szCs w:val="28"/>
        </w:rPr>
        <w:t xml:space="preserve">Risk: </w:t>
      </w:r>
      <w:r w:rsidR="00A648AE">
        <w:rPr>
          <w:rFonts w:asciiTheme="majorHAnsi" w:eastAsia="Times New Roman" w:hAnsiTheme="majorHAnsi" w:cs="Times New Roman"/>
          <w:sz w:val="28"/>
          <w:szCs w:val="28"/>
        </w:rPr>
        <w:t>Medium –to-High</w:t>
      </w:r>
    </w:p>
    <w:p w14:paraId="3A96A06C" w14:textId="77777777" w:rsidR="00A65D83" w:rsidRPr="00254A48" w:rsidRDefault="00A65D83" w:rsidP="00A65D83">
      <w:pPr>
        <w:pStyle w:val="ListParagraph"/>
        <w:rPr>
          <w:rFonts w:asciiTheme="majorHAnsi" w:hAnsiTheme="majorHAnsi"/>
          <w:sz w:val="28"/>
          <w:szCs w:val="28"/>
        </w:rPr>
      </w:pPr>
    </w:p>
    <w:p w14:paraId="486F9C6B" w14:textId="4DF5EA1E" w:rsidR="00BC35F0" w:rsidRPr="00CB051C" w:rsidRDefault="00BC35F0" w:rsidP="00BC35F0">
      <w:pPr>
        <w:pStyle w:val="NormalWeb"/>
        <w:rPr>
          <w:rFonts w:asciiTheme="majorHAnsi" w:hAnsiTheme="majorHAnsi"/>
          <w:sz w:val="28"/>
          <w:szCs w:val="28"/>
        </w:rPr>
      </w:pPr>
    </w:p>
    <w:sectPr w:rsidR="00BC35F0" w:rsidRPr="00CB05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6247" w14:textId="77777777" w:rsidR="00FE3797" w:rsidRDefault="00FE3797" w:rsidP="00CB051C">
      <w:pPr>
        <w:spacing w:after="0" w:line="240" w:lineRule="auto"/>
      </w:pPr>
      <w:r>
        <w:separator/>
      </w:r>
    </w:p>
  </w:endnote>
  <w:endnote w:type="continuationSeparator" w:id="0">
    <w:p w14:paraId="131999C0" w14:textId="77777777" w:rsidR="00FE3797" w:rsidRDefault="00FE3797" w:rsidP="00CB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639454"/>
      <w:docPartObj>
        <w:docPartGallery w:val="Page Numbers (Bottom of Page)"/>
        <w:docPartUnique/>
      </w:docPartObj>
    </w:sdtPr>
    <w:sdtEndPr/>
    <w:sdtContent>
      <w:p w14:paraId="1114C6AF" w14:textId="77777777" w:rsidR="00EE62DE" w:rsidRDefault="00EE62DE">
        <w:pPr>
          <w:pStyle w:val="Footer"/>
          <w:jc w:val="center"/>
        </w:pPr>
        <w:r>
          <w:t>[</w:t>
        </w:r>
        <w:r>
          <w:fldChar w:fldCharType="begin"/>
        </w:r>
        <w:r>
          <w:instrText xml:space="preserve"> PAGE   \* MERGEFORMAT </w:instrText>
        </w:r>
        <w:r>
          <w:fldChar w:fldCharType="separate"/>
        </w:r>
        <w:r w:rsidR="002D2C9C">
          <w:rPr>
            <w:noProof/>
          </w:rPr>
          <w:t>11</w:t>
        </w:r>
        <w:r>
          <w:rPr>
            <w:noProof/>
          </w:rPr>
          <w:fldChar w:fldCharType="end"/>
        </w:r>
        <w:r>
          <w:t>]</w:t>
        </w:r>
      </w:p>
    </w:sdtContent>
  </w:sdt>
  <w:p w14:paraId="6516E191" w14:textId="77777777" w:rsidR="00EE62DE" w:rsidRDefault="00EE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418E" w14:textId="77777777" w:rsidR="00FE3797" w:rsidRDefault="00FE3797" w:rsidP="00CB051C">
      <w:pPr>
        <w:spacing w:after="0" w:line="240" w:lineRule="auto"/>
      </w:pPr>
      <w:r>
        <w:separator/>
      </w:r>
    </w:p>
  </w:footnote>
  <w:footnote w:type="continuationSeparator" w:id="0">
    <w:p w14:paraId="50566A7B" w14:textId="77777777" w:rsidR="00FE3797" w:rsidRDefault="00FE3797" w:rsidP="00CB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D6"/>
    <w:multiLevelType w:val="multilevel"/>
    <w:tmpl w:val="362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54ABB"/>
    <w:multiLevelType w:val="multilevel"/>
    <w:tmpl w:val="55C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A4806"/>
    <w:multiLevelType w:val="multilevel"/>
    <w:tmpl w:val="B960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7700F"/>
    <w:multiLevelType w:val="hybridMultilevel"/>
    <w:tmpl w:val="7E78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54AA2"/>
    <w:multiLevelType w:val="multilevel"/>
    <w:tmpl w:val="CF3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7117D"/>
    <w:multiLevelType w:val="multilevel"/>
    <w:tmpl w:val="3C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80FFE"/>
    <w:multiLevelType w:val="multilevel"/>
    <w:tmpl w:val="521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35D1B"/>
    <w:multiLevelType w:val="multilevel"/>
    <w:tmpl w:val="4A16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25EC0"/>
    <w:multiLevelType w:val="multilevel"/>
    <w:tmpl w:val="6216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F0"/>
    <w:rsid w:val="00006030"/>
    <w:rsid w:val="00051C5E"/>
    <w:rsid w:val="00087631"/>
    <w:rsid w:val="000E71DD"/>
    <w:rsid w:val="001B520D"/>
    <w:rsid w:val="001F106B"/>
    <w:rsid w:val="00203FC7"/>
    <w:rsid w:val="00254A48"/>
    <w:rsid w:val="0028563F"/>
    <w:rsid w:val="002D2C9C"/>
    <w:rsid w:val="00396133"/>
    <w:rsid w:val="003E1601"/>
    <w:rsid w:val="004148A1"/>
    <w:rsid w:val="005852EA"/>
    <w:rsid w:val="0065528D"/>
    <w:rsid w:val="00683782"/>
    <w:rsid w:val="006D59D3"/>
    <w:rsid w:val="006E38F7"/>
    <w:rsid w:val="00716520"/>
    <w:rsid w:val="00727FEB"/>
    <w:rsid w:val="0079492A"/>
    <w:rsid w:val="00851F3D"/>
    <w:rsid w:val="009F090E"/>
    <w:rsid w:val="00A362F3"/>
    <w:rsid w:val="00A523B5"/>
    <w:rsid w:val="00A52B42"/>
    <w:rsid w:val="00A648AE"/>
    <w:rsid w:val="00A65D83"/>
    <w:rsid w:val="00B674B6"/>
    <w:rsid w:val="00B85A78"/>
    <w:rsid w:val="00BC35F0"/>
    <w:rsid w:val="00CB051C"/>
    <w:rsid w:val="00CF12A9"/>
    <w:rsid w:val="00CF5E2A"/>
    <w:rsid w:val="00D1268C"/>
    <w:rsid w:val="00E828A1"/>
    <w:rsid w:val="00EB2F8B"/>
    <w:rsid w:val="00EE563D"/>
    <w:rsid w:val="00EE62DE"/>
    <w:rsid w:val="00F71368"/>
    <w:rsid w:val="00F75AA4"/>
    <w:rsid w:val="00F95CE7"/>
    <w:rsid w:val="00F97E91"/>
    <w:rsid w:val="00FB6890"/>
    <w:rsid w:val="00FC49CB"/>
    <w:rsid w:val="00FE3797"/>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906A"/>
  <w15:docId w15:val="{C784E0A9-75CE-4E4E-84D5-7A5F1500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F0"/>
    <w:rPr>
      <w:rFonts w:ascii="Tahoma" w:hAnsi="Tahoma" w:cs="Tahoma"/>
      <w:sz w:val="16"/>
      <w:szCs w:val="16"/>
    </w:rPr>
  </w:style>
  <w:style w:type="paragraph" w:styleId="Header">
    <w:name w:val="header"/>
    <w:basedOn w:val="Normal"/>
    <w:link w:val="HeaderChar"/>
    <w:uiPriority w:val="99"/>
    <w:unhideWhenUsed/>
    <w:rsid w:val="00CB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51C"/>
  </w:style>
  <w:style w:type="paragraph" w:styleId="Footer">
    <w:name w:val="footer"/>
    <w:basedOn w:val="Normal"/>
    <w:link w:val="FooterChar"/>
    <w:uiPriority w:val="99"/>
    <w:unhideWhenUsed/>
    <w:rsid w:val="00CB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51C"/>
  </w:style>
  <w:style w:type="paragraph" w:styleId="ListParagraph">
    <w:name w:val="List Paragraph"/>
    <w:basedOn w:val="Normal"/>
    <w:uiPriority w:val="34"/>
    <w:qFormat/>
    <w:rsid w:val="00A6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3661">
      <w:bodyDiv w:val="1"/>
      <w:marLeft w:val="0"/>
      <w:marRight w:val="0"/>
      <w:marTop w:val="0"/>
      <w:marBottom w:val="0"/>
      <w:divBdr>
        <w:top w:val="none" w:sz="0" w:space="0" w:color="auto"/>
        <w:left w:val="none" w:sz="0" w:space="0" w:color="auto"/>
        <w:bottom w:val="none" w:sz="0" w:space="0" w:color="auto"/>
        <w:right w:val="none" w:sz="0" w:space="0" w:color="auto"/>
      </w:divBdr>
    </w:div>
    <w:div w:id="137429730">
      <w:bodyDiv w:val="1"/>
      <w:marLeft w:val="0"/>
      <w:marRight w:val="0"/>
      <w:marTop w:val="0"/>
      <w:marBottom w:val="0"/>
      <w:divBdr>
        <w:top w:val="none" w:sz="0" w:space="0" w:color="auto"/>
        <w:left w:val="none" w:sz="0" w:space="0" w:color="auto"/>
        <w:bottom w:val="none" w:sz="0" w:space="0" w:color="auto"/>
        <w:right w:val="none" w:sz="0" w:space="0" w:color="auto"/>
      </w:divBdr>
      <w:divsChild>
        <w:div w:id="262960335">
          <w:marLeft w:val="0"/>
          <w:marRight w:val="0"/>
          <w:marTop w:val="0"/>
          <w:marBottom w:val="0"/>
          <w:divBdr>
            <w:top w:val="none" w:sz="0" w:space="0" w:color="auto"/>
            <w:left w:val="none" w:sz="0" w:space="0" w:color="auto"/>
            <w:bottom w:val="none" w:sz="0" w:space="0" w:color="auto"/>
            <w:right w:val="none" w:sz="0" w:space="0" w:color="auto"/>
          </w:divBdr>
        </w:div>
        <w:div w:id="719674258">
          <w:marLeft w:val="0"/>
          <w:marRight w:val="0"/>
          <w:marTop w:val="0"/>
          <w:marBottom w:val="0"/>
          <w:divBdr>
            <w:top w:val="none" w:sz="0" w:space="0" w:color="auto"/>
            <w:left w:val="none" w:sz="0" w:space="0" w:color="auto"/>
            <w:bottom w:val="none" w:sz="0" w:space="0" w:color="auto"/>
            <w:right w:val="none" w:sz="0" w:space="0" w:color="auto"/>
          </w:divBdr>
          <w:divsChild>
            <w:div w:id="2061707500">
              <w:marLeft w:val="0"/>
              <w:marRight w:val="0"/>
              <w:marTop w:val="0"/>
              <w:marBottom w:val="0"/>
              <w:divBdr>
                <w:top w:val="none" w:sz="0" w:space="0" w:color="auto"/>
                <w:left w:val="none" w:sz="0" w:space="0" w:color="auto"/>
                <w:bottom w:val="none" w:sz="0" w:space="0" w:color="auto"/>
                <w:right w:val="none" w:sz="0" w:space="0" w:color="auto"/>
              </w:divBdr>
              <w:divsChild>
                <w:div w:id="1933196188">
                  <w:marLeft w:val="0"/>
                  <w:marRight w:val="0"/>
                  <w:marTop w:val="0"/>
                  <w:marBottom w:val="0"/>
                  <w:divBdr>
                    <w:top w:val="none" w:sz="0" w:space="0" w:color="auto"/>
                    <w:left w:val="none" w:sz="0" w:space="0" w:color="auto"/>
                    <w:bottom w:val="none" w:sz="0" w:space="0" w:color="auto"/>
                    <w:right w:val="none" w:sz="0" w:space="0" w:color="auto"/>
                  </w:divBdr>
                  <w:divsChild>
                    <w:div w:id="15834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167">
              <w:marLeft w:val="0"/>
              <w:marRight w:val="0"/>
              <w:marTop w:val="0"/>
              <w:marBottom w:val="0"/>
              <w:divBdr>
                <w:top w:val="none" w:sz="0" w:space="0" w:color="auto"/>
                <w:left w:val="none" w:sz="0" w:space="0" w:color="auto"/>
                <w:bottom w:val="none" w:sz="0" w:space="0" w:color="auto"/>
                <w:right w:val="none" w:sz="0" w:space="0" w:color="auto"/>
              </w:divBdr>
              <w:divsChild>
                <w:div w:id="1805804223">
                  <w:marLeft w:val="0"/>
                  <w:marRight w:val="0"/>
                  <w:marTop w:val="0"/>
                  <w:marBottom w:val="0"/>
                  <w:divBdr>
                    <w:top w:val="none" w:sz="0" w:space="0" w:color="auto"/>
                    <w:left w:val="none" w:sz="0" w:space="0" w:color="auto"/>
                    <w:bottom w:val="none" w:sz="0" w:space="0" w:color="auto"/>
                    <w:right w:val="none" w:sz="0" w:space="0" w:color="auto"/>
                  </w:divBdr>
                  <w:divsChild>
                    <w:div w:id="2129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2382">
      <w:bodyDiv w:val="1"/>
      <w:marLeft w:val="0"/>
      <w:marRight w:val="0"/>
      <w:marTop w:val="0"/>
      <w:marBottom w:val="0"/>
      <w:divBdr>
        <w:top w:val="none" w:sz="0" w:space="0" w:color="auto"/>
        <w:left w:val="none" w:sz="0" w:space="0" w:color="auto"/>
        <w:bottom w:val="none" w:sz="0" w:space="0" w:color="auto"/>
        <w:right w:val="none" w:sz="0" w:space="0" w:color="auto"/>
      </w:divBdr>
      <w:divsChild>
        <w:div w:id="1966500860">
          <w:marLeft w:val="0"/>
          <w:marRight w:val="0"/>
          <w:marTop w:val="0"/>
          <w:marBottom w:val="0"/>
          <w:divBdr>
            <w:top w:val="none" w:sz="0" w:space="0" w:color="auto"/>
            <w:left w:val="none" w:sz="0" w:space="0" w:color="auto"/>
            <w:bottom w:val="none" w:sz="0" w:space="0" w:color="auto"/>
            <w:right w:val="none" w:sz="0" w:space="0" w:color="auto"/>
          </w:divBdr>
        </w:div>
        <w:div w:id="1394424579">
          <w:marLeft w:val="0"/>
          <w:marRight w:val="0"/>
          <w:marTop w:val="0"/>
          <w:marBottom w:val="0"/>
          <w:divBdr>
            <w:top w:val="none" w:sz="0" w:space="0" w:color="auto"/>
            <w:left w:val="none" w:sz="0" w:space="0" w:color="auto"/>
            <w:bottom w:val="none" w:sz="0" w:space="0" w:color="auto"/>
            <w:right w:val="none" w:sz="0" w:space="0" w:color="auto"/>
          </w:divBdr>
        </w:div>
      </w:divsChild>
    </w:div>
    <w:div w:id="323700663">
      <w:bodyDiv w:val="1"/>
      <w:marLeft w:val="0"/>
      <w:marRight w:val="0"/>
      <w:marTop w:val="0"/>
      <w:marBottom w:val="0"/>
      <w:divBdr>
        <w:top w:val="none" w:sz="0" w:space="0" w:color="auto"/>
        <w:left w:val="none" w:sz="0" w:space="0" w:color="auto"/>
        <w:bottom w:val="none" w:sz="0" w:space="0" w:color="auto"/>
        <w:right w:val="none" w:sz="0" w:space="0" w:color="auto"/>
      </w:divBdr>
    </w:div>
    <w:div w:id="501089029">
      <w:bodyDiv w:val="1"/>
      <w:marLeft w:val="0"/>
      <w:marRight w:val="0"/>
      <w:marTop w:val="0"/>
      <w:marBottom w:val="0"/>
      <w:divBdr>
        <w:top w:val="none" w:sz="0" w:space="0" w:color="auto"/>
        <w:left w:val="none" w:sz="0" w:space="0" w:color="auto"/>
        <w:bottom w:val="none" w:sz="0" w:space="0" w:color="auto"/>
        <w:right w:val="none" w:sz="0" w:space="0" w:color="auto"/>
      </w:divBdr>
      <w:divsChild>
        <w:div w:id="1002313670">
          <w:marLeft w:val="0"/>
          <w:marRight w:val="0"/>
          <w:marTop w:val="0"/>
          <w:marBottom w:val="0"/>
          <w:divBdr>
            <w:top w:val="none" w:sz="0" w:space="0" w:color="auto"/>
            <w:left w:val="none" w:sz="0" w:space="0" w:color="auto"/>
            <w:bottom w:val="none" w:sz="0" w:space="0" w:color="auto"/>
            <w:right w:val="none" w:sz="0" w:space="0" w:color="auto"/>
          </w:divBdr>
          <w:divsChild>
            <w:div w:id="20515522">
              <w:marLeft w:val="0"/>
              <w:marRight w:val="0"/>
              <w:marTop w:val="0"/>
              <w:marBottom w:val="0"/>
              <w:divBdr>
                <w:top w:val="none" w:sz="0" w:space="0" w:color="auto"/>
                <w:left w:val="none" w:sz="0" w:space="0" w:color="auto"/>
                <w:bottom w:val="none" w:sz="0" w:space="0" w:color="auto"/>
                <w:right w:val="none" w:sz="0" w:space="0" w:color="auto"/>
              </w:divBdr>
              <w:divsChild>
                <w:div w:id="885609358">
                  <w:marLeft w:val="0"/>
                  <w:marRight w:val="0"/>
                  <w:marTop w:val="0"/>
                  <w:marBottom w:val="0"/>
                  <w:divBdr>
                    <w:top w:val="none" w:sz="0" w:space="0" w:color="auto"/>
                    <w:left w:val="none" w:sz="0" w:space="0" w:color="auto"/>
                    <w:bottom w:val="none" w:sz="0" w:space="0" w:color="auto"/>
                    <w:right w:val="none" w:sz="0" w:space="0" w:color="auto"/>
                  </w:divBdr>
                  <w:divsChild>
                    <w:div w:id="924647642">
                      <w:marLeft w:val="0"/>
                      <w:marRight w:val="0"/>
                      <w:marTop w:val="0"/>
                      <w:marBottom w:val="0"/>
                      <w:divBdr>
                        <w:top w:val="none" w:sz="0" w:space="0" w:color="auto"/>
                        <w:left w:val="none" w:sz="0" w:space="0" w:color="auto"/>
                        <w:bottom w:val="none" w:sz="0" w:space="0" w:color="auto"/>
                        <w:right w:val="none" w:sz="0" w:space="0" w:color="auto"/>
                      </w:divBdr>
                      <w:divsChild>
                        <w:div w:id="486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31096">
      <w:bodyDiv w:val="1"/>
      <w:marLeft w:val="0"/>
      <w:marRight w:val="0"/>
      <w:marTop w:val="0"/>
      <w:marBottom w:val="0"/>
      <w:divBdr>
        <w:top w:val="none" w:sz="0" w:space="0" w:color="auto"/>
        <w:left w:val="none" w:sz="0" w:space="0" w:color="auto"/>
        <w:bottom w:val="none" w:sz="0" w:space="0" w:color="auto"/>
        <w:right w:val="none" w:sz="0" w:space="0" w:color="auto"/>
      </w:divBdr>
      <w:divsChild>
        <w:div w:id="1668628494">
          <w:marLeft w:val="0"/>
          <w:marRight w:val="0"/>
          <w:marTop w:val="0"/>
          <w:marBottom w:val="0"/>
          <w:divBdr>
            <w:top w:val="none" w:sz="0" w:space="0" w:color="auto"/>
            <w:left w:val="none" w:sz="0" w:space="0" w:color="auto"/>
            <w:bottom w:val="none" w:sz="0" w:space="0" w:color="auto"/>
            <w:right w:val="none" w:sz="0" w:space="0" w:color="auto"/>
          </w:divBdr>
        </w:div>
        <w:div w:id="605120895">
          <w:marLeft w:val="0"/>
          <w:marRight w:val="0"/>
          <w:marTop w:val="0"/>
          <w:marBottom w:val="0"/>
          <w:divBdr>
            <w:top w:val="none" w:sz="0" w:space="0" w:color="auto"/>
            <w:left w:val="none" w:sz="0" w:space="0" w:color="auto"/>
            <w:bottom w:val="none" w:sz="0" w:space="0" w:color="auto"/>
            <w:right w:val="none" w:sz="0" w:space="0" w:color="auto"/>
          </w:divBdr>
          <w:divsChild>
            <w:div w:id="1374697904">
              <w:marLeft w:val="0"/>
              <w:marRight w:val="0"/>
              <w:marTop w:val="0"/>
              <w:marBottom w:val="0"/>
              <w:divBdr>
                <w:top w:val="none" w:sz="0" w:space="0" w:color="auto"/>
                <w:left w:val="none" w:sz="0" w:space="0" w:color="auto"/>
                <w:bottom w:val="none" w:sz="0" w:space="0" w:color="auto"/>
                <w:right w:val="none" w:sz="0" w:space="0" w:color="auto"/>
              </w:divBdr>
              <w:divsChild>
                <w:div w:id="2087801594">
                  <w:marLeft w:val="0"/>
                  <w:marRight w:val="0"/>
                  <w:marTop w:val="0"/>
                  <w:marBottom w:val="0"/>
                  <w:divBdr>
                    <w:top w:val="none" w:sz="0" w:space="0" w:color="auto"/>
                    <w:left w:val="none" w:sz="0" w:space="0" w:color="auto"/>
                    <w:bottom w:val="none" w:sz="0" w:space="0" w:color="auto"/>
                    <w:right w:val="none" w:sz="0" w:space="0" w:color="auto"/>
                  </w:divBdr>
                  <w:divsChild>
                    <w:div w:id="18374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724">
          <w:marLeft w:val="0"/>
          <w:marRight w:val="0"/>
          <w:marTop w:val="0"/>
          <w:marBottom w:val="0"/>
          <w:divBdr>
            <w:top w:val="none" w:sz="0" w:space="0" w:color="auto"/>
            <w:left w:val="none" w:sz="0" w:space="0" w:color="auto"/>
            <w:bottom w:val="none" w:sz="0" w:space="0" w:color="auto"/>
            <w:right w:val="none" w:sz="0" w:space="0" w:color="auto"/>
          </w:divBdr>
        </w:div>
        <w:div w:id="1024751594">
          <w:marLeft w:val="0"/>
          <w:marRight w:val="0"/>
          <w:marTop w:val="0"/>
          <w:marBottom w:val="0"/>
          <w:divBdr>
            <w:top w:val="none" w:sz="0" w:space="0" w:color="auto"/>
            <w:left w:val="none" w:sz="0" w:space="0" w:color="auto"/>
            <w:bottom w:val="none" w:sz="0" w:space="0" w:color="auto"/>
            <w:right w:val="none" w:sz="0" w:space="0" w:color="auto"/>
          </w:divBdr>
          <w:divsChild>
            <w:div w:id="2097752298">
              <w:marLeft w:val="0"/>
              <w:marRight w:val="0"/>
              <w:marTop w:val="0"/>
              <w:marBottom w:val="0"/>
              <w:divBdr>
                <w:top w:val="none" w:sz="0" w:space="0" w:color="auto"/>
                <w:left w:val="none" w:sz="0" w:space="0" w:color="auto"/>
                <w:bottom w:val="none" w:sz="0" w:space="0" w:color="auto"/>
                <w:right w:val="none" w:sz="0" w:space="0" w:color="auto"/>
              </w:divBdr>
              <w:divsChild>
                <w:div w:id="1038968202">
                  <w:marLeft w:val="0"/>
                  <w:marRight w:val="0"/>
                  <w:marTop w:val="0"/>
                  <w:marBottom w:val="0"/>
                  <w:divBdr>
                    <w:top w:val="none" w:sz="0" w:space="0" w:color="auto"/>
                    <w:left w:val="none" w:sz="0" w:space="0" w:color="auto"/>
                    <w:bottom w:val="none" w:sz="0" w:space="0" w:color="auto"/>
                    <w:right w:val="none" w:sz="0" w:space="0" w:color="auto"/>
                  </w:divBdr>
                  <w:divsChild>
                    <w:div w:id="14541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027">
          <w:marLeft w:val="0"/>
          <w:marRight w:val="0"/>
          <w:marTop w:val="0"/>
          <w:marBottom w:val="0"/>
          <w:divBdr>
            <w:top w:val="none" w:sz="0" w:space="0" w:color="auto"/>
            <w:left w:val="none" w:sz="0" w:space="0" w:color="auto"/>
            <w:bottom w:val="none" w:sz="0" w:space="0" w:color="auto"/>
            <w:right w:val="none" w:sz="0" w:space="0" w:color="auto"/>
          </w:divBdr>
        </w:div>
        <w:div w:id="563872589">
          <w:marLeft w:val="0"/>
          <w:marRight w:val="0"/>
          <w:marTop w:val="0"/>
          <w:marBottom w:val="0"/>
          <w:divBdr>
            <w:top w:val="none" w:sz="0" w:space="0" w:color="auto"/>
            <w:left w:val="none" w:sz="0" w:space="0" w:color="auto"/>
            <w:bottom w:val="none" w:sz="0" w:space="0" w:color="auto"/>
            <w:right w:val="none" w:sz="0" w:space="0" w:color="auto"/>
          </w:divBdr>
        </w:div>
        <w:div w:id="593125648">
          <w:marLeft w:val="0"/>
          <w:marRight w:val="0"/>
          <w:marTop w:val="0"/>
          <w:marBottom w:val="0"/>
          <w:divBdr>
            <w:top w:val="none" w:sz="0" w:space="0" w:color="auto"/>
            <w:left w:val="none" w:sz="0" w:space="0" w:color="auto"/>
            <w:bottom w:val="none" w:sz="0" w:space="0" w:color="auto"/>
            <w:right w:val="none" w:sz="0" w:space="0" w:color="auto"/>
          </w:divBdr>
        </w:div>
        <w:div w:id="143742786">
          <w:marLeft w:val="0"/>
          <w:marRight w:val="0"/>
          <w:marTop w:val="0"/>
          <w:marBottom w:val="0"/>
          <w:divBdr>
            <w:top w:val="none" w:sz="0" w:space="0" w:color="auto"/>
            <w:left w:val="none" w:sz="0" w:space="0" w:color="auto"/>
            <w:bottom w:val="none" w:sz="0" w:space="0" w:color="auto"/>
            <w:right w:val="none" w:sz="0" w:space="0" w:color="auto"/>
          </w:divBdr>
          <w:divsChild>
            <w:div w:id="7290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3914">
      <w:bodyDiv w:val="1"/>
      <w:marLeft w:val="0"/>
      <w:marRight w:val="0"/>
      <w:marTop w:val="0"/>
      <w:marBottom w:val="0"/>
      <w:divBdr>
        <w:top w:val="none" w:sz="0" w:space="0" w:color="auto"/>
        <w:left w:val="none" w:sz="0" w:space="0" w:color="auto"/>
        <w:bottom w:val="none" w:sz="0" w:space="0" w:color="auto"/>
        <w:right w:val="none" w:sz="0" w:space="0" w:color="auto"/>
      </w:divBdr>
      <w:divsChild>
        <w:div w:id="1287082679">
          <w:marLeft w:val="0"/>
          <w:marRight w:val="0"/>
          <w:marTop w:val="0"/>
          <w:marBottom w:val="0"/>
          <w:divBdr>
            <w:top w:val="none" w:sz="0" w:space="0" w:color="auto"/>
            <w:left w:val="none" w:sz="0" w:space="0" w:color="auto"/>
            <w:bottom w:val="none" w:sz="0" w:space="0" w:color="auto"/>
            <w:right w:val="none" w:sz="0" w:space="0" w:color="auto"/>
          </w:divBdr>
        </w:div>
        <w:div w:id="1249921172">
          <w:marLeft w:val="0"/>
          <w:marRight w:val="0"/>
          <w:marTop w:val="0"/>
          <w:marBottom w:val="0"/>
          <w:divBdr>
            <w:top w:val="none" w:sz="0" w:space="0" w:color="auto"/>
            <w:left w:val="none" w:sz="0" w:space="0" w:color="auto"/>
            <w:bottom w:val="none" w:sz="0" w:space="0" w:color="auto"/>
            <w:right w:val="none" w:sz="0" w:space="0" w:color="auto"/>
          </w:divBdr>
        </w:div>
        <w:div w:id="2116971702">
          <w:marLeft w:val="0"/>
          <w:marRight w:val="0"/>
          <w:marTop w:val="0"/>
          <w:marBottom w:val="0"/>
          <w:divBdr>
            <w:top w:val="none" w:sz="0" w:space="0" w:color="auto"/>
            <w:left w:val="none" w:sz="0" w:space="0" w:color="auto"/>
            <w:bottom w:val="none" w:sz="0" w:space="0" w:color="auto"/>
            <w:right w:val="none" w:sz="0" w:space="0" w:color="auto"/>
          </w:divBdr>
        </w:div>
        <w:div w:id="637688291">
          <w:marLeft w:val="0"/>
          <w:marRight w:val="0"/>
          <w:marTop w:val="0"/>
          <w:marBottom w:val="0"/>
          <w:divBdr>
            <w:top w:val="none" w:sz="0" w:space="0" w:color="auto"/>
            <w:left w:val="none" w:sz="0" w:space="0" w:color="auto"/>
            <w:bottom w:val="none" w:sz="0" w:space="0" w:color="auto"/>
            <w:right w:val="none" w:sz="0" w:space="0" w:color="auto"/>
          </w:divBdr>
        </w:div>
        <w:div w:id="2014380431">
          <w:marLeft w:val="0"/>
          <w:marRight w:val="0"/>
          <w:marTop w:val="0"/>
          <w:marBottom w:val="0"/>
          <w:divBdr>
            <w:top w:val="none" w:sz="0" w:space="0" w:color="auto"/>
            <w:left w:val="none" w:sz="0" w:space="0" w:color="auto"/>
            <w:bottom w:val="none" w:sz="0" w:space="0" w:color="auto"/>
            <w:right w:val="none" w:sz="0" w:space="0" w:color="auto"/>
          </w:divBdr>
          <w:divsChild>
            <w:div w:id="322467735">
              <w:marLeft w:val="0"/>
              <w:marRight w:val="0"/>
              <w:marTop w:val="0"/>
              <w:marBottom w:val="0"/>
              <w:divBdr>
                <w:top w:val="none" w:sz="0" w:space="0" w:color="auto"/>
                <w:left w:val="none" w:sz="0" w:space="0" w:color="auto"/>
                <w:bottom w:val="none" w:sz="0" w:space="0" w:color="auto"/>
                <w:right w:val="none" w:sz="0" w:space="0" w:color="auto"/>
              </w:divBdr>
              <w:divsChild>
                <w:div w:id="1594587932">
                  <w:marLeft w:val="0"/>
                  <w:marRight w:val="0"/>
                  <w:marTop w:val="0"/>
                  <w:marBottom w:val="0"/>
                  <w:divBdr>
                    <w:top w:val="none" w:sz="0" w:space="0" w:color="auto"/>
                    <w:left w:val="none" w:sz="0" w:space="0" w:color="auto"/>
                    <w:bottom w:val="none" w:sz="0" w:space="0" w:color="auto"/>
                    <w:right w:val="none" w:sz="0" w:space="0" w:color="auto"/>
                  </w:divBdr>
                  <w:divsChild>
                    <w:div w:id="1684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7557">
      <w:bodyDiv w:val="1"/>
      <w:marLeft w:val="0"/>
      <w:marRight w:val="0"/>
      <w:marTop w:val="0"/>
      <w:marBottom w:val="0"/>
      <w:divBdr>
        <w:top w:val="none" w:sz="0" w:space="0" w:color="auto"/>
        <w:left w:val="none" w:sz="0" w:space="0" w:color="auto"/>
        <w:bottom w:val="none" w:sz="0" w:space="0" w:color="auto"/>
        <w:right w:val="none" w:sz="0" w:space="0" w:color="auto"/>
      </w:divBdr>
    </w:div>
    <w:div w:id="1731541955">
      <w:bodyDiv w:val="1"/>
      <w:marLeft w:val="0"/>
      <w:marRight w:val="0"/>
      <w:marTop w:val="0"/>
      <w:marBottom w:val="0"/>
      <w:divBdr>
        <w:top w:val="none" w:sz="0" w:space="0" w:color="auto"/>
        <w:left w:val="none" w:sz="0" w:space="0" w:color="auto"/>
        <w:bottom w:val="none" w:sz="0" w:space="0" w:color="auto"/>
        <w:right w:val="none" w:sz="0" w:space="0" w:color="auto"/>
      </w:divBdr>
      <w:divsChild>
        <w:div w:id="140931888">
          <w:marLeft w:val="0"/>
          <w:marRight w:val="0"/>
          <w:marTop w:val="0"/>
          <w:marBottom w:val="0"/>
          <w:divBdr>
            <w:top w:val="none" w:sz="0" w:space="0" w:color="auto"/>
            <w:left w:val="none" w:sz="0" w:space="0" w:color="auto"/>
            <w:bottom w:val="none" w:sz="0" w:space="0" w:color="auto"/>
            <w:right w:val="none" w:sz="0" w:space="0" w:color="auto"/>
          </w:divBdr>
        </w:div>
        <w:div w:id="821433662">
          <w:marLeft w:val="0"/>
          <w:marRight w:val="0"/>
          <w:marTop w:val="0"/>
          <w:marBottom w:val="0"/>
          <w:divBdr>
            <w:top w:val="none" w:sz="0" w:space="0" w:color="auto"/>
            <w:left w:val="none" w:sz="0" w:space="0" w:color="auto"/>
            <w:bottom w:val="none" w:sz="0" w:space="0" w:color="auto"/>
            <w:right w:val="none" w:sz="0" w:space="0" w:color="auto"/>
          </w:divBdr>
        </w:div>
        <w:div w:id="2082410715">
          <w:marLeft w:val="0"/>
          <w:marRight w:val="0"/>
          <w:marTop w:val="0"/>
          <w:marBottom w:val="0"/>
          <w:divBdr>
            <w:top w:val="none" w:sz="0" w:space="0" w:color="auto"/>
            <w:left w:val="none" w:sz="0" w:space="0" w:color="auto"/>
            <w:bottom w:val="none" w:sz="0" w:space="0" w:color="auto"/>
            <w:right w:val="none" w:sz="0" w:space="0" w:color="auto"/>
          </w:divBdr>
        </w:div>
        <w:div w:id="642005386">
          <w:marLeft w:val="0"/>
          <w:marRight w:val="0"/>
          <w:marTop w:val="0"/>
          <w:marBottom w:val="0"/>
          <w:divBdr>
            <w:top w:val="none" w:sz="0" w:space="0" w:color="auto"/>
            <w:left w:val="none" w:sz="0" w:space="0" w:color="auto"/>
            <w:bottom w:val="none" w:sz="0" w:space="0" w:color="auto"/>
            <w:right w:val="none" w:sz="0" w:space="0" w:color="auto"/>
          </w:divBdr>
        </w:div>
        <w:div w:id="1935824284">
          <w:marLeft w:val="0"/>
          <w:marRight w:val="0"/>
          <w:marTop w:val="0"/>
          <w:marBottom w:val="0"/>
          <w:divBdr>
            <w:top w:val="none" w:sz="0" w:space="0" w:color="auto"/>
            <w:left w:val="none" w:sz="0" w:space="0" w:color="auto"/>
            <w:bottom w:val="none" w:sz="0" w:space="0" w:color="auto"/>
            <w:right w:val="none" w:sz="0" w:space="0" w:color="auto"/>
          </w:divBdr>
          <w:divsChild>
            <w:div w:id="1876307504">
              <w:marLeft w:val="0"/>
              <w:marRight w:val="0"/>
              <w:marTop w:val="0"/>
              <w:marBottom w:val="0"/>
              <w:divBdr>
                <w:top w:val="none" w:sz="0" w:space="0" w:color="auto"/>
                <w:left w:val="none" w:sz="0" w:space="0" w:color="auto"/>
                <w:bottom w:val="none" w:sz="0" w:space="0" w:color="auto"/>
                <w:right w:val="none" w:sz="0" w:space="0" w:color="auto"/>
              </w:divBdr>
            </w:div>
          </w:divsChild>
        </w:div>
        <w:div w:id="154228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p.gov/sitehelp/glossary/glossary.html?term=IndexFund" TargetMode="External"/><Relationship Id="rId3" Type="http://schemas.openxmlformats.org/officeDocument/2006/relationships/settings" Target="settings.xml"/><Relationship Id="rId7" Type="http://schemas.openxmlformats.org/officeDocument/2006/relationships/hyperlink" Target="https://www.tsp.gov/sitehelp/glossary/glossary.html?term=Separate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dc:creator>
  <cp:lastModifiedBy>Vince Bono</cp:lastModifiedBy>
  <cp:revision>2</cp:revision>
  <cp:lastPrinted>2016-05-29T13:19:00Z</cp:lastPrinted>
  <dcterms:created xsi:type="dcterms:W3CDTF">2020-01-06T22:24:00Z</dcterms:created>
  <dcterms:modified xsi:type="dcterms:W3CDTF">2020-01-06T22:24:00Z</dcterms:modified>
</cp:coreProperties>
</file>